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BUKTI KORESPONDENSI</w:t>
      </w:r>
    </w:p>
    <w:p w:rsidR="00000000" w:rsidDel="00000000" w:rsidP="00000000" w:rsidRDefault="00000000" w:rsidRPr="00000000" w14:paraId="0000000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ARTIKEL SINTA 4</w:t>
      </w:r>
    </w:p>
    <w:p w:rsidR="00000000" w:rsidDel="00000000" w:rsidP="00000000" w:rsidRDefault="00000000" w:rsidRPr="00000000" w14:paraId="00000003">
      <w:pPr>
        <w:pStyle w:val="Heading1"/>
        <w:spacing w:after="0" w:before="0" w:lineRule="auto"/>
        <w:ind w:left="1560" w:hanging="1560"/>
        <w:rPr>
          <w:rFonts w:ascii="Titillium Web" w:cs="Titillium Web" w:eastAsia="Titillium Web" w:hAnsi="Titillium Web"/>
          <w:sz w:val="24"/>
          <w:szCs w:val="24"/>
        </w:rPr>
      </w:pPr>
      <w:r w:rsidDel="00000000" w:rsidR="00000000" w:rsidRPr="00000000">
        <w:rPr>
          <w:sz w:val="24"/>
          <w:szCs w:val="24"/>
          <w:rtl w:val="0"/>
        </w:rPr>
        <w:t xml:space="preserve">Judul </w:t>
        <w:tab/>
        <w:t xml:space="preserve">: Transformasi Paradigma Fiskal Indonesia dalam Konteks Pembangunan dan Kemandirian Nasional</w:t>
      </w: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Jurnal</w:t>
        <w:tab/>
        <w:tab/>
        <w:t xml:space="preserve">: Jurnal Ekonomika</w:t>
      </w:r>
    </w:p>
    <w:p w:rsidR="00000000" w:rsidDel="00000000" w:rsidP="00000000" w:rsidRDefault="00000000" w:rsidRPr="00000000" w14:paraId="0000000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Penulis</w:t>
        <w:tab/>
        <w:tab/>
        <w:t xml:space="preserve">: Fitriani, Herry Yulistiyono, Ariani</w:t>
      </w:r>
    </w:p>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5448"/>
        <w:gridCol w:w="3006"/>
        <w:tblGridChange w:id="0">
          <w:tblGrid>
            <w:gridCol w:w="562"/>
            <w:gridCol w:w="5448"/>
            <w:gridCol w:w="3006"/>
          </w:tblGrid>
        </w:tblGridChange>
      </w:tblGrid>
      <w:tr>
        <w:trPr>
          <w:cantSplit w:val="0"/>
          <w:tblHeader w:val="0"/>
        </w:trPr>
        <w:tc>
          <w:tcPr/>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t>
            </w:r>
          </w:p>
        </w:tc>
        <w:tc>
          <w:tcPr/>
          <w:p w:rsidR="00000000" w:rsidDel="00000000" w:rsidP="00000000" w:rsidRDefault="00000000" w:rsidRPr="00000000" w14:paraId="0000000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Perihal</w:t>
            </w:r>
          </w:p>
        </w:tc>
        <w:tc>
          <w:tcPr/>
          <w:p w:rsidR="00000000" w:rsidDel="00000000" w:rsidP="00000000" w:rsidRDefault="00000000" w:rsidRPr="00000000" w14:paraId="0000000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Tanggal</w:t>
            </w:r>
          </w:p>
        </w:tc>
      </w:tr>
      <w:tr>
        <w:trPr>
          <w:cantSplit w:val="0"/>
          <w:tblHeader w:val="0"/>
        </w:trPr>
        <w:tc>
          <w:tcPr/>
          <w:p w:rsidR="00000000" w:rsidDel="00000000" w:rsidP="00000000" w:rsidRDefault="00000000" w:rsidRPr="00000000" w14:paraId="0000000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0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Bukti Konfirmasi submit manuscript dan manuscript yang di submit</w:t>
            </w:r>
          </w:p>
        </w:tc>
        <w:tc>
          <w:tcPr/>
          <w:p w:rsidR="00000000" w:rsidDel="00000000" w:rsidP="00000000" w:rsidRDefault="00000000" w:rsidRPr="00000000" w14:paraId="0000000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November 2025</w:t>
            </w:r>
          </w:p>
        </w:tc>
      </w:tr>
      <w:tr>
        <w:trPr>
          <w:cantSplit w:val="0"/>
          <w:tblHeader w:val="0"/>
        </w:trPr>
        <w:tc>
          <w:tcPr/>
          <w:p w:rsidR="00000000" w:rsidDel="00000000" w:rsidP="00000000" w:rsidRDefault="00000000" w:rsidRPr="00000000" w14:paraId="000000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r>
          </w:p>
        </w:tc>
        <w:tc>
          <w:tcPr/>
          <w:p w:rsidR="00000000" w:rsidDel="00000000" w:rsidP="00000000" w:rsidRDefault="00000000" w:rsidRPr="00000000" w14:paraId="0000000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Konfirmasi salinan manuscript telah diterima oleh jurnal</w:t>
            </w:r>
          </w:p>
        </w:tc>
        <w:tc>
          <w:tcPr/>
          <w:p w:rsidR="00000000" w:rsidDel="00000000" w:rsidP="00000000" w:rsidRDefault="00000000" w:rsidRPr="00000000" w14:paraId="0000000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November 2025</w:t>
            </w:r>
          </w:p>
        </w:tc>
      </w:tr>
      <w:tr>
        <w:trPr>
          <w:cantSplit w:val="0"/>
          <w:tblHeader w:val="0"/>
        </w:trPr>
        <w:tc>
          <w:tcPr/>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01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Konfirmasi dan bukti pengembalian manuscript untuk di revisi (revisi pertama) </w:t>
            </w:r>
          </w:p>
        </w:tc>
        <w:tc>
          <w:tcPr/>
          <w:p w:rsidR="00000000" w:rsidDel="00000000" w:rsidP="00000000" w:rsidRDefault="00000000" w:rsidRPr="00000000" w14:paraId="0000001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Desember 2025</w:t>
            </w:r>
          </w:p>
        </w:tc>
      </w:tr>
      <w:tr>
        <w:trPr>
          <w:cantSplit w:val="0"/>
          <w:tblHeader w:val="0"/>
        </w:trPr>
        <w:tc>
          <w:tcPr/>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Bukti konfirmasi submit revisi pertama, respon kepada reviewer, dan manuscript yang diresubmit dengan file with highlight and without highlight</w:t>
            </w:r>
          </w:p>
        </w:tc>
        <w:tc>
          <w:tcPr/>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Desember 2025</w:t>
            </w:r>
          </w:p>
        </w:tc>
      </w:tr>
      <w:tr>
        <w:trPr>
          <w:cantSplit w:val="0"/>
          <w:tblHeader w:val="0"/>
        </w:trPr>
        <w:tc>
          <w:tcPr/>
          <w:p w:rsidR="00000000" w:rsidDel="00000000" w:rsidP="00000000" w:rsidRDefault="00000000" w:rsidRPr="00000000" w14:paraId="0000001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p w:rsidR="00000000" w:rsidDel="00000000" w:rsidP="00000000" w:rsidRDefault="00000000" w:rsidRPr="00000000" w14:paraId="000000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Manuscript Accepted </w:t>
            </w:r>
          </w:p>
        </w:tc>
        <w:tc>
          <w:tcPr/>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Desember 2025</w:t>
            </w:r>
          </w:p>
        </w:tc>
      </w:tr>
      <w:tr>
        <w:trPr>
          <w:cantSplit w:val="0"/>
          <w:tblHeader w:val="0"/>
        </w:trPr>
        <w:tc>
          <w:tcPr/>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Bukti konfirmasi artikel dipublikasikan secara online </w:t>
            </w:r>
          </w:p>
        </w:tc>
        <w:tc>
          <w:tcPr/>
          <w:p w:rsidR="00000000" w:rsidDel="00000000" w:rsidP="00000000" w:rsidRDefault="00000000" w:rsidRPr="00000000" w14:paraId="0000001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 Desember 2025</w:t>
            </w:r>
          </w:p>
        </w:tc>
      </w:tr>
      <w:tr>
        <w:trPr>
          <w:cantSplit w:val="0"/>
          <w:tblHeader w:val="0"/>
        </w:trPr>
        <w:tc>
          <w:tcPr/>
          <w:p w:rsidR="00000000" w:rsidDel="00000000" w:rsidP="00000000" w:rsidRDefault="00000000" w:rsidRPr="00000000" w14:paraId="0000001C">
            <w:pPr>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1E">
            <w:pPr>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1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URL Sinta Indeks </w:t>
      </w:r>
      <w:hyperlink r:id="rId9">
        <w:r w:rsidDel="00000000" w:rsidR="00000000" w:rsidRPr="00000000">
          <w:rPr>
            <w:rFonts w:ascii="Times New Roman" w:cs="Times New Roman" w:eastAsia="Times New Roman" w:hAnsi="Times New Roman"/>
            <w:color w:val="1155cc"/>
            <w:u w:val="single"/>
            <w:rtl w:val="0"/>
          </w:rPr>
          <w:t xml:space="preserve">https://sinta.kemdiktisaintek.go.id/journals/profile/7963</w:t>
        </w:r>
      </w:hyperlink>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1889125"/>
            <wp:effectExtent b="0" l="0" r="0" t="0"/>
            <wp:docPr id="10"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31510" cy="188912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URL Halaman Jurnal</w:t>
      </w:r>
    </w:p>
    <w:p w:rsidR="00000000" w:rsidDel="00000000" w:rsidP="00000000" w:rsidRDefault="00000000" w:rsidRPr="00000000" w14:paraId="00000023">
      <w:pPr>
        <w:jc w:val="both"/>
        <w:rPr>
          <w:rFonts w:ascii="Times New Roman" w:cs="Times New Roman" w:eastAsia="Times New Roman" w:hAnsi="Times New Roman"/>
        </w:rPr>
      </w:pPr>
      <w:hyperlink r:id="rId11">
        <w:r w:rsidDel="00000000" w:rsidR="00000000" w:rsidRPr="00000000">
          <w:rPr>
            <w:rFonts w:ascii="Times New Roman" w:cs="Times New Roman" w:eastAsia="Times New Roman" w:hAnsi="Times New Roman"/>
            <w:color w:val="000000"/>
            <w:sz w:val="24"/>
            <w:szCs w:val="24"/>
            <w:u w:val="none"/>
            <w:rtl w:val="0"/>
          </w:rPr>
          <w:t xml:space="preserve">https://jurnal.ubt.ac.id/index.php/ekonomika/article/view/486</w:t>
        </w:r>
      </w:hyperlink>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4651375"/>
            <wp:effectExtent b="0" l="0" r="0" t="0"/>
            <wp:docPr id="12"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731510" cy="465137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2693035"/>
            <wp:effectExtent b="0" l="0" r="0" t="0"/>
            <wp:docPr id="11"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731510" cy="269303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tabs>
          <w:tab w:val="center" w:leader="none" w:pos="5189"/>
          <w:tab w:val="left" w:leader="none" w:pos="9525"/>
        </w:tabs>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rtl w:val="0"/>
        </w:rPr>
        <w:t xml:space="preserve">Manuscript disubmit 9 November 2025</w:t>
        <w:br w:type="textWrapping"/>
      </w:r>
      <w:r w:rsidDel="00000000" w:rsidR="00000000" w:rsidRPr="00000000">
        <w:rPr>
          <w:rtl w:val="0"/>
        </w:rPr>
      </w:r>
    </w:p>
    <w:p w:rsidR="00000000" w:rsidDel="00000000" w:rsidP="00000000" w:rsidRDefault="00000000" w:rsidRPr="00000000" w14:paraId="0000002A">
      <w:pPr>
        <w:tabs>
          <w:tab w:val="center" w:leader="none" w:pos="5189"/>
          <w:tab w:val="left" w:leader="none" w:pos="9525"/>
        </w:tabs>
        <w:rPr>
          <w:b w:val="1"/>
          <w:bCs w:val="1"/>
          <w:i w:val="1"/>
          <w:iCs w:val="1"/>
        </w:rPr>
      </w:pPr>
      <w:r w:rsidDel="00000000" w:rsidR="00000000" w:rsidRPr="00000000">
        <w:rPr>
          <w:rFonts w:ascii="Times New Roman" w:cs="Times New Roman" w:eastAsia="Times New Roman" w:hAnsi="Times New Roman"/>
          <w:b w:val="1"/>
          <w:bCs w:val="1"/>
          <w:i w:val="1"/>
          <w:iCs w:val="1"/>
          <w:rtl w:val="0"/>
        </w:rPr>
        <w:t xml:space="preserve">Transformasi Paradigma Fiskal Indonesia dalam Konteks Pembangunan dan Kemandirian Nasional.</w:t>
      </w:r>
      <w:r w:rsidDel="00000000" w:rsidR="00000000" w:rsidRPr="00000000">
        <w:rPr>
          <w:rtl w:val="0"/>
        </w:rPr>
      </w:r>
    </w:p>
    <w:p w:rsidR="00000000" w:rsidDel="00000000" w:rsidP="00000000" w:rsidRDefault="00000000" w:rsidRPr="00000000" w14:paraId="0000002B">
      <w:pPr>
        <w:pBdr>
          <w:top w:space="0" w:sz="0" w:val="nil"/>
          <w:left w:space="0" w:sz="0" w:val="nil"/>
          <w:bottom w:color="000000" w:space="1" w:sz="4" w:val="single"/>
          <w:right w:space="0" w:sz="0" w:val="nil"/>
          <w:between w:space="0" w:sz="0" w:val="nil"/>
        </w:pBdr>
        <w:spacing w:after="220" w:line="230" w:lineRule="auto"/>
        <w:rPr>
          <w:i w:val="1"/>
          <w:iCs w:val="1"/>
          <w:color w:val="000000"/>
        </w:rPr>
      </w:pPr>
      <w:bookmarkStart w:colFirst="0" w:colLast="0" w:name="_heading=h.ov664zlin2x3" w:id="0"/>
      <w:bookmarkEnd w:id="0"/>
      <w:r w:rsidDel="00000000" w:rsidR="00000000" w:rsidRPr="00000000">
        <w:rPr>
          <w:rtl w:val="0"/>
        </w:rPr>
      </w:r>
    </w:p>
    <w:tbl>
      <w:tblPr>
        <w:tblStyle w:val="Table2"/>
        <w:tblW w:w="8237.0" w:type="dxa"/>
        <w:jc w:val="center"/>
        <w:tblLayout w:type="fixed"/>
        <w:tblLook w:val="0000"/>
      </w:tblPr>
      <w:tblGrid>
        <w:gridCol w:w="2621"/>
        <w:gridCol w:w="236"/>
        <w:gridCol w:w="5380"/>
        <w:tblGridChange w:id="0">
          <w:tblGrid>
            <w:gridCol w:w="2621"/>
            <w:gridCol w:w="236"/>
            <w:gridCol w:w="5380"/>
          </w:tblGrid>
        </w:tblGridChange>
      </w:tblGrid>
      <w:tr>
        <w:trPr>
          <w:cantSplit w:val="0"/>
          <w:tblHeader w:val="0"/>
        </w:trPr>
        <w:tc>
          <w:tcPr>
            <w:vMerge w:val="restart"/>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smallCaps w:val="1"/>
                <w:color w:val="000000"/>
              </w:rPr>
            </w:pPr>
            <w:r w:rsidDel="00000000" w:rsidR="00000000" w:rsidRPr="00000000">
              <w:rPr>
                <w:rFonts w:ascii="Times New Roman" w:cs="Times New Roman" w:eastAsia="Times New Roman" w:hAnsi="Times New Roman"/>
                <w:smallCaps w:val="1"/>
                <w:color w:val="000000"/>
                <w:rtl w:val="0"/>
              </w:rPr>
              <w:t xml:space="preserve">InFO ARTIKEL</w:t>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i w:val="1"/>
                <w:iCs w:val="1"/>
                <w:color w:val="000000"/>
              </w:rPr>
            </w:pPr>
            <w:r w:rsidDel="00000000" w:rsidR="00000000" w:rsidRPr="00000000">
              <w:rPr>
                <w:rFonts w:ascii="Times New Roman" w:cs="Times New Roman" w:eastAsia="Times New Roman" w:hAnsi="Times New Roman"/>
                <w:b w:val="1"/>
                <w:bCs w:val="1"/>
                <w:i w:val="1"/>
                <w:iCs w:val="1"/>
                <w:color w:val="000000"/>
                <w:rtl w:val="0"/>
              </w:rPr>
              <w:t xml:space="preserve">Riwayat Artikel:</w:t>
            </w:r>
          </w:p>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i w:val="1"/>
                <w:iCs w:val="1"/>
                <w:color w:val="000000"/>
                <w:rtl w:val="0"/>
              </w:rPr>
              <w:t xml:space="preserve">Received </w:t>
            </w:r>
          </w:p>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i w:val="1"/>
                <w:iCs w:val="1"/>
                <w:color w:val="000000"/>
                <w:rtl w:val="0"/>
              </w:rPr>
              <w:t xml:space="preserve">Revised </w:t>
            </w:r>
          </w:p>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i w:val="1"/>
                <w:iCs w:val="1"/>
                <w:color w:val="000000"/>
                <w:rtl w:val="0"/>
              </w:rPr>
              <w:t xml:space="preserve">Accepted </w:t>
            </w:r>
          </w:p>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Times New Roman" w:cs="Times New Roman" w:eastAsia="Times New Roman" w:hAnsi="Times New Roman"/>
                <w:i w:val="1"/>
                <w:iCs w:val="1"/>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i w:val="1"/>
                <w:iCs w:val="1"/>
                <w:color w:val="000000"/>
                <w:rtl w:val="0"/>
              </w:rPr>
              <w:t xml:space="preserve">Keywords:</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i w:val="1"/>
                <w:iCs w:val="1"/>
                <w:color w:val="000000"/>
                <w:rtl w:val="0"/>
              </w:rPr>
              <w:t xml:space="preserve">fiscal policy, development sovereignty, fiscal sustainability, inclusive growth</w:t>
            </w:r>
          </w:p>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rFonts w:ascii="Times New Roman" w:cs="Times New Roman" w:eastAsia="Times New Roman" w:hAnsi="Times New Roman"/>
                <w:i w:val="1"/>
                <w:iCs w:val="1"/>
                <w:color w:val="00000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rFonts w:ascii="Times New Roman" w:cs="Times New Roman" w:eastAsia="Times New Roman" w:hAnsi="Times New Roman"/>
                <w:i w:val="1"/>
                <w:iCs w:val="1"/>
                <w:color w:val="00000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jc w:val="both"/>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b w:val="1"/>
                <w:bCs w:val="1"/>
                <w:i w:val="1"/>
                <w:iCs w:val="1"/>
                <w:color w:val="000000"/>
                <w:rtl w:val="0"/>
              </w:rPr>
              <w:t xml:space="preserve">Kata Kunci:</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Times New Roman" w:cs="Times New Roman" w:eastAsia="Times New Roman" w:hAnsi="Times New Roman"/>
                <w:i w:val="1"/>
                <w:iCs w:val="1"/>
                <w:color w:val="000000"/>
              </w:rPr>
            </w:pPr>
            <w:r w:rsidDel="00000000" w:rsidR="00000000" w:rsidRPr="00000000">
              <w:rPr>
                <w:rFonts w:ascii="Times New Roman" w:cs="Times New Roman" w:eastAsia="Times New Roman" w:hAnsi="Times New Roman"/>
                <w:i w:val="1"/>
                <w:iCs w:val="1"/>
                <w:color w:val="000000"/>
                <w:rtl w:val="0"/>
              </w:rPr>
              <w:t xml:space="preserve">kebijakan fiskal, kedaulatan pembangunan, keberlanjutan fiskal,  pertumbuhan inklusif</w:t>
            </w:r>
          </w:p>
          <w:p w:rsidR="00000000" w:rsidDel="00000000" w:rsidP="00000000" w:rsidRDefault="00000000" w:rsidRPr="00000000" w14:paraId="00000038">
            <w:pPr>
              <w:pBdr>
                <w:top w:space="0" w:sz="0" w:val="nil"/>
                <w:left w:space="0" w:sz="0" w:val="nil"/>
                <w:bottom w:space="0" w:sz="0" w:val="nil"/>
                <w:right w:space="0" w:sz="0" w:val="nil"/>
                <w:between w:space="0" w:sz="0" w:val="nil"/>
              </w:pBdr>
              <w:jc w:val="both"/>
              <w:rPr>
                <w:rFonts w:ascii="Times New Roman" w:cs="Times New Roman" w:eastAsia="Times New Roman" w:hAnsi="Times New Roman"/>
                <w:i w:val="1"/>
                <w:iCs w:val="1"/>
                <w:color w:val="000000"/>
              </w:rPr>
            </w:pPr>
            <w:r w:rsidDel="00000000" w:rsidR="00000000" w:rsidRPr="00000000">
              <w:rPr>
                <w:rtl w:val="0"/>
              </w:rPr>
            </w:r>
          </w:p>
        </w:tc>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smallCaps w:val="1"/>
                <w:color w:val="000000"/>
              </w:rPr>
            </w:pP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smallCaps w:val="1"/>
                <w:color w:val="000000"/>
              </w:rPr>
            </w:pPr>
            <w:r w:rsidDel="00000000" w:rsidR="00000000" w:rsidRPr="00000000">
              <w:rPr>
                <w:rFonts w:ascii="Times New Roman" w:cs="Times New Roman" w:eastAsia="Times New Roman" w:hAnsi="Times New Roman"/>
                <w:smallCaps w:val="1"/>
                <w:color w:val="000000"/>
                <w:rtl w:val="0"/>
              </w:rPr>
              <w:t xml:space="preserve">ABSTRACT</w:t>
            </w:r>
          </w:p>
          <w:p w:rsidR="00000000" w:rsidDel="00000000" w:rsidP="00000000" w:rsidRDefault="00000000" w:rsidRPr="00000000" w14:paraId="0000003B">
            <w:pPr>
              <w:spacing w:after="120" w:before="120" w:line="276"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This study examines the transformation of Indonesia’s fiscal policy direction during the 2024–2026 period in the post COVID-19 transition phase. This shift reflects a paradigm change from a counter-cyclical recovery policy toward fiscal governance oriented toward national development and sovereignty. The research employs a qualitative–descriptive and comparative approach through document analysis of Informasi APBN 2024–2025 and the 2026 Draft State Budget (RAPBN) issued by the Ministry of Finance of the Republic of Indonesia. The findings reveal a structural transformation in fiscal policy, marked by maintaining the deficit below 3 percent of GDP, implementing tax reform and digitalization, and reallocating public expenditure toward productive sectors such as education, health, green energy, and food security. Based on Musgrave’s (1959) theory, fiscal functions evolved from stabilizing to allocative and distributive. The results indicate growing maturity in adaptive fiscal governance. This study contributes empirically to the literature on fiscal governance in developing countries.</w:t>
            </w:r>
          </w:p>
        </w:tc>
      </w:tr>
      <w:tr>
        <w:trPr>
          <w:cantSplit w:val="0"/>
          <w:tblHeader w:val="0"/>
        </w:trPr>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i w:val="1"/>
                <w:iCs w:val="1"/>
              </w:rPr>
            </w:pPr>
            <w:r w:rsidDel="00000000" w:rsidR="00000000" w:rsidRPr="00000000">
              <w:rPr>
                <w:rtl w:val="0"/>
              </w:rPr>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smallCaps w:val="1"/>
                <w:color w:val="000000"/>
              </w:rPr>
            </w:pPr>
            <w:r w:rsidDel="00000000" w:rsidR="00000000" w:rsidRPr="00000000">
              <w:rPr>
                <w:rtl w:val="0"/>
              </w:rPr>
            </w:r>
          </w:p>
        </w:tc>
        <w:tc>
          <w:tcPr/>
          <w:p w:rsidR="00000000" w:rsidDel="00000000" w:rsidP="00000000" w:rsidRDefault="00000000" w:rsidRPr="00000000" w14:paraId="0000003E">
            <w:pPr>
              <w:pBdr>
                <w:top w:space="0" w:sz="0" w:val="nil"/>
                <w:left w:space="0" w:sz="0" w:val="nil"/>
                <w:bottom w:space="0" w:sz="0" w:val="nil"/>
                <w:right w:space="0" w:sz="0" w:val="nil"/>
                <w:between w:space="0" w:sz="0" w:val="nil"/>
              </w:pBdr>
              <w:jc w:val="both"/>
              <w:rPr>
                <w:rFonts w:ascii="Times New Roman" w:cs="Times New Roman" w:eastAsia="Times New Roman" w:hAnsi="Times New Roman"/>
                <w:i w:val="1"/>
                <w:iCs w:val="1"/>
                <w:color w:val="000000"/>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20" w:lineRule="auto"/>
              <w:jc w:val="both"/>
              <w:rPr>
                <w:rFonts w:ascii="Times New Roman" w:cs="Times New Roman" w:eastAsia="Times New Roman" w:hAnsi="Times New Roman"/>
                <w:smallCaps w:val="1"/>
                <w:color w:val="000000"/>
              </w:rPr>
            </w:pPr>
            <w:r w:rsidDel="00000000" w:rsidR="00000000" w:rsidRPr="00000000">
              <w:rPr>
                <w:rFonts w:ascii="Times New Roman" w:cs="Times New Roman" w:eastAsia="Times New Roman" w:hAnsi="Times New Roman"/>
                <w:smallCaps w:val="1"/>
                <w:color w:val="000000"/>
                <w:rtl w:val="0"/>
              </w:rPr>
              <w:t xml:space="preserve">ABSTRAK</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menelaah transformasi arah kebijakan fiskal Indonesia periode 2024–2026 dalam masa transisi pasca-pandemi COVID-19. Pergeseran ini mencerminkan perubahan paradigma dari kebijakan pemulihan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menuju tata kelola fiskal yang berorientasi pada pembangunan dan kedaulatan nasional. Metode penelitian menggunakan pendekatan kualitatif-deskriptif komparatif melalui analisis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2024–2025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2026 yang diterbitkan Kementerian Keuangan Republik Indonesia. Hasil penelitian menunjukkan transformasi struktural kebijakan fiskal yang ditandai oleh disiplin defisit di bawah 3 persen PDB, reformasi dan digitalisasi perpajakan, serta pergeseran belanja publik ke sektor produktif seperti pendidikan, kesehatan, energi hijau, dan ketahanan pangan. Berdasarkan teori Musgrave (1959), fungsi fiskal berevolusi dari stabilisatif ke alokatif dan distributif. Temuan ini menegaskan kematangan tata kelola fiskal adaptif yang menyeimbangkan stabilitas makro, pembangunan berkelanjutan, dan kemandirian ekonomi. Penelitian ini memberikan kontribusi empiris bagi penguatan literatur tentang tata kelola fiskal di negara berkembang.</w:t>
            </w:r>
          </w:p>
          <w:p w:rsidR="00000000" w:rsidDel="00000000" w:rsidP="00000000" w:rsidRDefault="00000000" w:rsidRPr="00000000" w14:paraId="0000004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tc>
      </w:tr>
    </w:tbl>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20" w:before="120" w:line="276" w:lineRule="auto"/>
        <w:ind w:left="289" w:hanging="289"/>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PENDAHULUAN</w:t>
      </w:r>
    </w:p>
    <w:p w:rsidR="00000000" w:rsidDel="00000000" w:rsidP="00000000" w:rsidRDefault="00000000" w:rsidRPr="00000000" w14:paraId="00000043">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Lanskap ekonomi global pasca-pandemi COVID-19, dinamika geopolitik, disrupsi rantai pasok, serta fragmentasi perdagangan internasional masih menjadi tantangan utama bagi stabilitas makroekonomi dunia (</w:t>
      </w:r>
      <w:hyperlink r:id="rId14">
        <w:r w:rsidDel="00000000" w:rsidR="00000000" w:rsidRPr="00000000">
          <w:rPr>
            <w:rFonts w:ascii="Times New Roman" w:cs="Times New Roman" w:eastAsia="Times New Roman" w:hAnsi="Times New Roman"/>
            <w:color w:val="000000"/>
            <w:sz w:val="24"/>
            <w:szCs w:val="24"/>
            <w:u w:val="none"/>
            <w:rtl w:val="0"/>
          </w:rPr>
          <w:t xml:space="preserve">Yoganandham, 2024</w:t>
        </w:r>
      </w:hyperlink>
      <w:r w:rsidDel="00000000" w:rsidR="00000000" w:rsidRPr="00000000">
        <w:rPr>
          <w:rFonts w:ascii="Times New Roman" w:cs="Times New Roman" w:eastAsia="Times New Roman" w:hAnsi="Times New Roman"/>
          <w:rtl w:val="0"/>
        </w:rPr>
        <w:t xml:space="preserve">; </w:t>
      </w:r>
      <w:hyperlink r:id="rId15">
        <w:r w:rsidDel="00000000" w:rsidR="00000000" w:rsidRPr="00000000">
          <w:rPr>
            <w:rFonts w:ascii="Times New Roman" w:cs="Times New Roman" w:eastAsia="Times New Roman" w:hAnsi="Times New Roman"/>
            <w:color w:val="000000"/>
            <w:sz w:val="24"/>
            <w:szCs w:val="24"/>
            <w:u w:val="none"/>
            <w:rtl w:val="0"/>
          </w:rPr>
          <w:t xml:space="preserve">Gayathri &amp; Vijayabanu, 2024</w:t>
        </w:r>
      </w:hyperlink>
      <w:r w:rsidDel="00000000" w:rsidR="00000000" w:rsidRPr="00000000">
        <w:rPr>
          <w:rFonts w:ascii="Times New Roman" w:cs="Times New Roman" w:eastAsia="Times New Roman" w:hAnsi="Times New Roman"/>
          <w:rtl w:val="0"/>
        </w:rPr>
        <w:t xml:space="preserve">). International Monetary Fund (IMF, </w:t>
      </w:r>
      <w:r w:rsidDel="00000000" w:rsidR="00000000" w:rsidRPr="00000000">
        <w:rPr>
          <w:rFonts w:ascii="Times New Roman" w:cs="Times New Roman" w:eastAsia="Times New Roman" w:hAnsi="Times New Roman"/>
          <w:i w:val="1"/>
          <w:iCs w:val="1"/>
          <w:rtl w:val="0"/>
        </w:rPr>
        <w:t xml:space="preserve">World Economic Outlook</w:t>
      </w:r>
      <w:r w:rsidDel="00000000" w:rsidR="00000000" w:rsidRPr="00000000">
        <w:rPr>
          <w:rFonts w:ascii="Times New Roman" w:cs="Times New Roman" w:eastAsia="Times New Roman" w:hAnsi="Times New Roman"/>
          <w:rtl w:val="0"/>
        </w:rPr>
        <w:t xml:space="preserve">, 2025) memperkirakan pertumbuhan ekonomi global hanya berkisar 3,0–3,1 persen dalam dua tahun terakhir, mencerminkan pemulihan yang belum merata dan tekanan struktural pada sistem perdagangan multilateral (</w:t>
      </w:r>
      <w:hyperlink r:id="rId16">
        <w:r w:rsidDel="00000000" w:rsidR="00000000" w:rsidRPr="00000000">
          <w:rPr>
            <w:rFonts w:ascii="Times New Roman" w:cs="Times New Roman" w:eastAsia="Times New Roman" w:hAnsi="Times New Roman"/>
            <w:color w:val="000000"/>
            <w:sz w:val="24"/>
            <w:szCs w:val="24"/>
            <w:u w:val="none"/>
            <w:rtl w:val="0"/>
          </w:rPr>
          <w:t xml:space="preserve">Luong et al., 2025</w:t>
        </w:r>
      </w:hyperlink>
      <w:r w:rsidDel="00000000" w:rsidR="00000000" w:rsidRPr="00000000">
        <w:rPr>
          <w:rFonts w:ascii="Times New Roman" w:cs="Times New Roman" w:eastAsia="Times New Roman" w:hAnsi="Times New Roman"/>
          <w:rtl w:val="0"/>
        </w:rPr>
        <w:t xml:space="preserve">). Kebijakan fiskal Indonesia menunjukkan dinamika yang menonjol baik dalam orientasi, struktur, maupun prioritas pembangunan. </w:t>
      </w:r>
    </w:p>
    <w:p w:rsidR="00000000" w:rsidDel="00000000" w:rsidP="00000000" w:rsidRDefault="00000000" w:rsidRPr="00000000" w14:paraId="00000044">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Dalam konteks ini, kebijakan fiskal menjadi instrumen utama yang diandalkan berbagai negara untuk menjaga daya tahan ekonomi, melindungi kelompok rentan, serta mendorong pertumbuhan jangka menengah melalui investasi publik yang produktif (</w:t>
      </w:r>
      <w:hyperlink r:id="rId17">
        <w:r w:rsidDel="00000000" w:rsidR="00000000" w:rsidRPr="00000000">
          <w:rPr>
            <w:rFonts w:ascii="Times New Roman" w:cs="Times New Roman" w:eastAsia="Times New Roman" w:hAnsi="Times New Roman"/>
            <w:color w:val="000000"/>
            <w:sz w:val="24"/>
            <w:szCs w:val="24"/>
            <w:u w:val="none"/>
            <w:rtl w:val="0"/>
          </w:rPr>
          <w:t xml:space="preserve">Ekasari &amp; Othman, 2025</w:t>
        </w:r>
      </w:hyperlink>
      <w:r w:rsidDel="00000000" w:rsidR="00000000" w:rsidRPr="00000000">
        <w:rPr>
          <w:rFonts w:ascii="Times New Roman" w:cs="Times New Roman" w:eastAsia="Times New Roman" w:hAnsi="Times New Roman"/>
          <w:rtl w:val="0"/>
        </w:rPr>
        <w:t xml:space="preserve">; </w:t>
      </w:r>
      <w:hyperlink r:id="rId18">
        <w:r w:rsidDel="00000000" w:rsidR="00000000" w:rsidRPr="00000000">
          <w:rPr>
            <w:rFonts w:ascii="Times New Roman" w:cs="Times New Roman" w:eastAsia="Times New Roman" w:hAnsi="Times New Roman"/>
            <w:color w:val="000000"/>
            <w:sz w:val="24"/>
            <w:szCs w:val="24"/>
            <w:u w:val="none"/>
            <w:rtl w:val="0"/>
          </w:rPr>
          <w:t xml:space="preserve">Touat, 2024</w:t>
        </w:r>
      </w:hyperlink>
      <w:r w:rsidDel="00000000" w:rsidR="00000000" w:rsidRPr="00000000">
        <w:rPr>
          <w:rFonts w:ascii="Times New Roman" w:cs="Times New Roman" w:eastAsia="Times New Roman" w:hAnsi="Times New Roman"/>
          <w:rtl w:val="0"/>
        </w:rPr>
        <w:t xml:space="preserve">). Indonesia, sebagai salah satu ekonomi terbesar di Asia Tenggara dan anggota G20, menghadapi tantangan serupa untuk menyeimbangkan antara stabilitas fiskal dan percepatan pembangunan ekonomi (</w:t>
      </w:r>
      <w:hyperlink r:id="rId19">
        <w:r w:rsidDel="00000000" w:rsidR="00000000" w:rsidRPr="00000000">
          <w:rPr>
            <w:rFonts w:ascii="Times New Roman" w:cs="Times New Roman" w:eastAsia="Times New Roman" w:hAnsi="Times New Roman"/>
            <w:color w:val="000000"/>
            <w:sz w:val="24"/>
            <w:szCs w:val="24"/>
            <w:u w:val="none"/>
            <w:rtl w:val="0"/>
          </w:rPr>
          <w:t xml:space="preserve">Indrawati &amp; Satriawan, 2024</w:t>
        </w:r>
      </w:hyperlink>
      <w:r w:rsidDel="00000000" w:rsidR="00000000" w:rsidRPr="00000000">
        <w:rPr>
          <w:rFonts w:ascii="Times New Roman" w:cs="Times New Roman" w:eastAsia="Times New Roman" w:hAnsi="Times New Roman"/>
          <w:rtl w:val="0"/>
        </w:rPr>
        <w:t xml:space="preserve">; </w:t>
      </w:r>
      <w:hyperlink r:id="rId20">
        <w:r w:rsidDel="00000000" w:rsidR="00000000" w:rsidRPr="00000000">
          <w:rPr>
            <w:rFonts w:ascii="Times New Roman" w:cs="Times New Roman" w:eastAsia="Times New Roman" w:hAnsi="Times New Roman"/>
            <w:color w:val="000000"/>
            <w:sz w:val="24"/>
            <w:szCs w:val="24"/>
            <w:u w:val="none"/>
            <w:rtl w:val="0"/>
          </w:rPr>
          <w:t xml:space="preserve">Ulani &amp; Aprirachman, 2025</w:t>
        </w:r>
      </w:hyperlink>
      <w:r w:rsidDel="00000000" w:rsidR="00000000" w:rsidRPr="00000000">
        <w:rPr>
          <w:rFonts w:ascii="Times New Roman" w:cs="Times New Roman" w:eastAsia="Times New Roman" w:hAnsi="Times New Roman"/>
          <w:rtl w:val="0"/>
        </w:rPr>
        <w:t xml:space="preserve">; </w:t>
      </w:r>
      <w:hyperlink r:id="rId21">
        <w:r w:rsidDel="00000000" w:rsidR="00000000" w:rsidRPr="00000000">
          <w:rPr>
            <w:rFonts w:ascii="Times New Roman" w:cs="Times New Roman" w:eastAsia="Times New Roman" w:hAnsi="Times New Roman"/>
            <w:color w:val="000000"/>
            <w:sz w:val="24"/>
            <w:szCs w:val="24"/>
            <w:u w:val="none"/>
            <w:rtl w:val="0"/>
          </w:rPr>
          <w:t xml:space="preserve">Anugrah et al., 2024</w:t>
        </w:r>
      </w:hyperlink>
      <w:r w:rsidDel="00000000" w:rsidR="00000000" w:rsidRPr="00000000">
        <w:rPr>
          <w:rFonts w:ascii="Times New Roman" w:cs="Times New Roman" w:eastAsia="Times New Roman" w:hAnsi="Times New Roman"/>
          <w:rtl w:val="0"/>
        </w:rPr>
        <w:t xml:space="preserve">). Sejak masa pandemi, Anggaran Pendapatan dan Belanja Negara (APBN) berperan sebagai </w:t>
      </w:r>
      <w:r w:rsidDel="00000000" w:rsidR="00000000" w:rsidRPr="00000000">
        <w:rPr>
          <w:rFonts w:ascii="Times New Roman" w:cs="Times New Roman" w:eastAsia="Times New Roman" w:hAnsi="Times New Roman"/>
          <w:i w:val="1"/>
          <w:iCs w:val="1"/>
          <w:rtl w:val="0"/>
        </w:rPr>
        <w:t xml:space="preserve">shock absorber</w:t>
      </w:r>
      <w:r w:rsidDel="00000000" w:rsidR="00000000" w:rsidRPr="00000000">
        <w:rPr>
          <w:rFonts w:ascii="Times New Roman" w:cs="Times New Roman" w:eastAsia="Times New Roman" w:hAnsi="Times New Roman"/>
          <w:rtl w:val="0"/>
        </w:rPr>
        <w:t xml:space="preserve"> yang efektif dalam menjaga daya beli masyarakat dan menopang pemulihan ekonomi nasional (</w:t>
      </w:r>
      <w:hyperlink r:id="rId22">
        <w:r w:rsidDel="00000000" w:rsidR="00000000" w:rsidRPr="00000000">
          <w:rPr>
            <w:rFonts w:ascii="Times New Roman" w:cs="Times New Roman" w:eastAsia="Times New Roman" w:hAnsi="Times New Roman"/>
            <w:color w:val="000000"/>
            <w:sz w:val="24"/>
            <w:szCs w:val="24"/>
            <w:u w:val="none"/>
            <w:rtl w:val="0"/>
          </w:rPr>
          <w:t xml:space="preserve">Kacaribu &amp; Crystallin, 2022</w:t>
        </w:r>
      </w:hyperlink>
      <w:r w:rsidDel="00000000" w:rsidR="00000000" w:rsidRPr="00000000">
        <w:rPr>
          <w:rFonts w:ascii="Times New Roman" w:cs="Times New Roman" w:eastAsia="Times New Roman" w:hAnsi="Times New Roman"/>
          <w:rtl w:val="0"/>
        </w:rPr>
        <w:t xml:space="preserve">). Namun, memasuki periode pasca-pandemi, fungsi APBN mengalami reposisi strategis dari sekadar alat stabilisasi menjadi instrumen pembangunan berkelanjutan (</w:t>
      </w:r>
      <w:hyperlink r:id="rId23">
        <w:r w:rsidDel="00000000" w:rsidR="00000000" w:rsidRPr="00000000">
          <w:rPr>
            <w:rFonts w:ascii="Times New Roman" w:cs="Times New Roman" w:eastAsia="Times New Roman" w:hAnsi="Times New Roman"/>
            <w:color w:val="000000"/>
            <w:sz w:val="24"/>
            <w:szCs w:val="24"/>
            <w:u w:val="none"/>
            <w:rtl w:val="0"/>
          </w:rPr>
          <w:t xml:space="preserve">Indrawati &amp; Satriawan, 2024</w:t>
        </w:r>
      </w:hyperlink>
      <w:r w:rsidDel="00000000" w:rsidR="00000000" w:rsidRPr="00000000">
        <w:rPr>
          <w:rFonts w:ascii="Times New Roman" w:cs="Times New Roman" w:eastAsia="Times New Roman" w:hAnsi="Times New Roman"/>
          <w:rtl w:val="0"/>
        </w:rPr>
        <w:t xml:space="preserve">; </w:t>
      </w:r>
      <w:hyperlink r:id="rId24">
        <w:r w:rsidDel="00000000" w:rsidR="00000000" w:rsidRPr="00000000">
          <w:rPr>
            <w:rFonts w:ascii="Times New Roman" w:cs="Times New Roman" w:eastAsia="Times New Roman" w:hAnsi="Times New Roman"/>
            <w:color w:val="000000"/>
            <w:sz w:val="24"/>
            <w:szCs w:val="24"/>
            <w:u w:val="none"/>
            <w:rtl w:val="0"/>
          </w:rPr>
          <w:t xml:space="preserve">Judijanto, 2025</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5">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Pemerintah mulai menata kembali ruang fiskal dengan menjaga defisit di bawah 3 persen terhadap Produk Domestik Bruto (PDB) sesuai amanat Undang-Undang Keuangan Negara (</w:t>
      </w:r>
      <w:hyperlink r:id="rId25">
        <w:r w:rsidDel="00000000" w:rsidR="00000000" w:rsidRPr="00000000">
          <w:rPr>
            <w:rFonts w:ascii="Times New Roman" w:cs="Times New Roman" w:eastAsia="Times New Roman" w:hAnsi="Times New Roman"/>
            <w:color w:val="000000"/>
            <w:sz w:val="24"/>
            <w:szCs w:val="24"/>
            <w:u w:val="none"/>
            <w:rtl w:val="0"/>
          </w:rPr>
          <w:t xml:space="preserve">Khairi, 2024</w:t>
        </w:r>
      </w:hyperlink>
      <w:r w:rsidDel="00000000" w:rsidR="00000000" w:rsidRPr="00000000">
        <w:rPr>
          <w:rFonts w:ascii="Times New Roman" w:cs="Times New Roman" w:eastAsia="Times New Roman" w:hAnsi="Times New Roman"/>
          <w:rtl w:val="0"/>
        </w:rPr>
        <w:t xml:space="preserve">). Pada saat yang sama, arah kebijakan fiskal didorong untuk memperbesar porsi belanja produktif di bidang pendidikan, kesehatan, infrastruktur, dan energi terbarukan, guna memperkuat fondasi pertumbuhan jangka panjang (</w:t>
      </w:r>
      <w:hyperlink r:id="rId26">
        <w:r w:rsidDel="00000000" w:rsidR="00000000" w:rsidRPr="00000000">
          <w:rPr>
            <w:rFonts w:ascii="Times New Roman" w:cs="Times New Roman" w:eastAsia="Times New Roman" w:hAnsi="Times New Roman"/>
            <w:color w:val="000000"/>
            <w:sz w:val="24"/>
            <w:szCs w:val="24"/>
            <w:u w:val="none"/>
            <w:rtl w:val="0"/>
          </w:rPr>
          <w:t xml:space="preserve">Trisnantoro, 2022</w:t>
        </w:r>
      </w:hyperlink>
      <w:r w:rsidDel="00000000" w:rsidR="00000000" w:rsidRPr="00000000">
        <w:rPr>
          <w:rFonts w:ascii="Times New Roman" w:cs="Times New Roman" w:eastAsia="Times New Roman" w:hAnsi="Times New Roman"/>
          <w:rtl w:val="0"/>
        </w:rPr>
        <w:t xml:space="preserve">; </w:t>
      </w:r>
      <w:hyperlink r:id="rId27">
        <w:r w:rsidDel="00000000" w:rsidR="00000000" w:rsidRPr="00000000">
          <w:rPr>
            <w:rFonts w:ascii="Times New Roman" w:cs="Times New Roman" w:eastAsia="Times New Roman" w:hAnsi="Times New Roman"/>
            <w:color w:val="000000"/>
            <w:sz w:val="24"/>
            <w:szCs w:val="24"/>
            <w:u w:val="none"/>
            <w:rtl w:val="0"/>
          </w:rPr>
          <w:t xml:space="preserve">Gamal et al., 2024</w:t>
        </w:r>
      </w:hyperlink>
      <w:r w:rsidDel="00000000" w:rsidR="00000000" w:rsidRPr="00000000">
        <w:rPr>
          <w:rFonts w:ascii="Times New Roman" w:cs="Times New Roman" w:eastAsia="Times New Roman" w:hAnsi="Times New Roman"/>
          <w:rtl w:val="0"/>
        </w:rPr>
        <w:t xml:space="preserve">; </w:t>
      </w:r>
      <w:hyperlink r:id="rId28">
        <w:r w:rsidDel="00000000" w:rsidR="00000000" w:rsidRPr="00000000">
          <w:rPr>
            <w:rFonts w:ascii="Times New Roman" w:cs="Times New Roman" w:eastAsia="Times New Roman" w:hAnsi="Times New Roman"/>
            <w:color w:val="000000"/>
            <w:sz w:val="24"/>
            <w:szCs w:val="24"/>
            <w:u w:val="none"/>
            <w:rtl w:val="0"/>
          </w:rPr>
          <w:t xml:space="preserve">Mahira &amp; Karjoko, 2024</w:t>
        </w:r>
      </w:hyperlink>
      <w:r w:rsidDel="00000000" w:rsidR="00000000" w:rsidRPr="00000000">
        <w:rPr>
          <w:rFonts w:ascii="Times New Roman" w:cs="Times New Roman" w:eastAsia="Times New Roman" w:hAnsi="Times New Roman"/>
          <w:rtl w:val="0"/>
        </w:rPr>
        <w:t xml:space="preserve">). Reposisi tersebut menandai kembalinya disiplin fiskal yang tetap ekspansif namun terukur (</w:t>
      </w:r>
      <w:r w:rsidDel="00000000" w:rsidR="00000000" w:rsidRPr="00000000">
        <w:rPr>
          <w:rFonts w:ascii="Times New Roman" w:cs="Times New Roman" w:eastAsia="Times New Roman" w:hAnsi="Times New Roman"/>
          <w:i w:val="1"/>
          <w:iCs w:val="1"/>
          <w:rtl w:val="0"/>
        </w:rPr>
        <w:t xml:space="preserve">expansionary yet prudent</w:t>
      </w:r>
      <w:r w:rsidDel="00000000" w:rsidR="00000000" w:rsidRPr="00000000">
        <w:rPr>
          <w:rFonts w:ascii="Times New Roman" w:cs="Times New Roman" w:eastAsia="Times New Roman" w:hAnsi="Times New Roman"/>
          <w:rtl w:val="0"/>
        </w:rPr>
        <w:t xml:space="preserve">), di mana kebijakan fiskal diarahkan untuk mendukung transformasi ekonomi berkelanjutan dan mencapai </w:t>
      </w:r>
      <w:r w:rsidDel="00000000" w:rsidR="00000000" w:rsidRPr="00000000">
        <w:rPr>
          <w:rFonts w:ascii="Times New Roman" w:cs="Times New Roman" w:eastAsia="Times New Roman" w:hAnsi="Times New Roman"/>
          <w:i w:val="1"/>
          <w:iCs w:val="1"/>
          <w:rtl w:val="0"/>
        </w:rPr>
        <w:t xml:space="preserve">Sustainable Development Goals</w:t>
      </w:r>
      <w:r w:rsidDel="00000000" w:rsidR="00000000" w:rsidRPr="00000000">
        <w:rPr>
          <w:rFonts w:ascii="Times New Roman" w:cs="Times New Roman" w:eastAsia="Times New Roman" w:hAnsi="Times New Roman"/>
          <w:rtl w:val="0"/>
        </w:rPr>
        <w:t xml:space="preserve"> (SDGs) nasional (Halimatussadiah &amp; Cesarina, 2020; </w:t>
      </w:r>
      <w:hyperlink r:id="rId29">
        <w:r w:rsidDel="00000000" w:rsidR="00000000" w:rsidRPr="00000000">
          <w:rPr>
            <w:rFonts w:ascii="Times New Roman" w:cs="Times New Roman" w:eastAsia="Times New Roman" w:hAnsi="Times New Roman"/>
            <w:color w:val="000000"/>
            <w:sz w:val="24"/>
            <w:szCs w:val="24"/>
            <w:u w:val="none"/>
            <w:rtl w:val="0"/>
          </w:rPr>
          <w:t xml:space="preserve">Ulani &amp; Aprirachman, 2025</w:t>
        </w:r>
      </w:hyperlink>
      <w:r w:rsidDel="00000000" w:rsidR="00000000" w:rsidRPr="00000000">
        <w:rPr>
          <w:rFonts w:ascii="Times New Roman" w:cs="Times New Roman" w:eastAsia="Times New Roman" w:hAnsi="Times New Roman"/>
          <w:rtl w:val="0"/>
        </w:rPr>
        <w:t xml:space="preserve">; </w:t>
      </w:r>
      <w:hyperlink r:id="rId30">
        <w:r w:rsidDel="00000000" w:rsidR="00000000" w:rsidRPr="00000000">
          <w:rPr>
            <w:rFonts w:ascii="Times New Roman" w:cs="Times New Roman" w:eastAsia="Times New Roman" w:hAnsi="Times New Roman"/>
            <w:color w:val="000000"/>
            <w:sz w:val="24"/>
            <w:szCs w:val="24"/>
            <w:u w:val="none"/>
            <w:rtl w:val="0"/>
          </w:rPr>
          <w:t xml:space="preserve">Hidayat et al., 2021</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6">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Periode 2024–2026 menjadi fase transisi penting dalam konsolidasi fiskal Indonesia, yang menandai perubahan orientasi dari penanganan krisis menuju pembangunan jangka panjang yang berkelanjutan. Secara substantif, kebijakan fiskal pada periode ini merepresentasikan pergeseran paradigma dari </w:t>
      </w:r>
      <w:r w:rsidDel="00000000" w:rsidR="00000000" w:rsidRPr="00000000">
        <w:rPr>
          <w:rFonts w:ascii="Times New Roman" w:cs="Times New Roman" w:eastAsia="Times New Roman" w:hAnsi="Times New Roman"/>
          <w:i w:val="1"/>
          <w:iCs w:val="1"/>
          <w:rtl w:val="0"/>
        </w:rPr>
        <w:t xml:space="preserve">crisis management</w:t>
      </w:r>
      <w:r w:rsidDel="00000000" w:rsidR="00000000" w:rsidRPr="00000000">
        <w:rPr>
          <w:rFonts w:ascii="Times New Roman" w:cs="Times New Roman" w:eastAsia="Times New Roman" w:hAnsi="Times New Roman"/>
          <w:rtl w:val="0"/>
        </w:rPr>
        <w:t xml:space="preserve"> menuju </w:t>
      </w:r>
      <w:r w:rsidDel="00000000" w:rsidR="00000000" w:rsidRPr="00000000">
        <w:rPr>
          <w:rFonts w:ascii="Times New Roman" w:cs="Times New Roman" w:eastAsia="Times New Roman" w:hAnsi="Times New Roman"/>
          <w:i w:val="1"/>
          <w:iCs w:val="1"/>
          <w:rtl w:val="0"/>
        </w:rPr>
        <w:t xml:space="preserve">developmental fiscal policy</w:t>
      </w:r>
      <w:r w:rsidDel="00000000" w:rsidR="00000000" w:rsidRPr="00000000">
        <w:rPr>
          <w:rFonts w:ascii="Times New Roman" w:cs="Times New Roman" w:eastAsia="Times New Roman" w:hAnsi="Times New Roman"/>
          <w:rtl w:val="0"/>
        </w:rPr>
        <w:t xml:space="preserve"> yang menempatkan pembangunan inklusif, transformasi hijau, dan penguatan ketahanan nasional sebagai prioritas utama (</w:t>
      </w:r>
      <w:hyperlink r:id="rId31">
        <w:r w:rsidDel="00000000" w:rsidR="00000000" w:rsidRPr="00000000">
          <w:rPr>
            <w:rFonts w:ascii="Times New Roman" w:cs="Times New Roman" w:eastAsia="Times New Roman" w:hAnsi="Times New Roman"/>
            <w:color w:val="000000"/>
            <w:sz w:val="24"/>
            <w:szCs w:val="24"/>
            <w:u w:val="none"/>
            <w:rtl w:val="0"/>
          </w:rPr>
          <w:t xml:space="preserve">Indrawati &amp; Satriawan, 2024</w:t>
        </w:r>
      </w:hyperlink>
      <w:r w:rsidDel="00000000" w:rsidR="00000000" w:rsidRPr="00000000">
        <w:rPr>
          <w:rFonts w:ascii="Times New Roman" w:cs="Times New Roman" w:eastAsia="Times New Roman" w:hAnsi="Times New Roman"/>
          <w:rtl w:val="0"/>
        </w:rPr>
        <w:t xml:space="preserve">; </w:t>
      </w:r>
      <w:hyperlink r:id="rId32">
        <w:r w:rsidDel="00000000" w:rsidR="00000000" w:rsidRPr="00000000">
          <w:rPr>
            <w:rFonts w:ascii="Times New Roman" w:cs="Times New Roman" w:eastAsia="Times New Roman" w:hAnsi="Times New Roman"/>
            <w:color w:val="000000"/>
            <w:sz w:val="24"/>
            <w:szCs w:val="24"/>
            <w:u w:val="none"/>
            <w:rtl w:val="0"/>
          </w:rPr>
          <w:t xml:space="preserve">Judijanto, 2025</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7">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Tema APBN 2024, yaitu </w:t>
      </w:r>
      <w:r w:rsidDel="00000000" w:rsidR="00000000" w:rsidRPr="00000000">
        <w:rPr>
          <w:rFonts w:ascii="Times New Roman" w:cs="Times New Roman" w:eastAsia="Times New Roman" w:hAnsi="Times New Roman"/>
          <w:i w:val="1"/>
          <w:iCs w:val="1"/>
          <w:rtl w:val="0"/>
        </w:rPr>
        <w:t xml:space="preserve">“Mempercepat Transformasi Ekonomi yang Inklusif dan Berkelanjutan,”</w:t>
      </w:r>
      <w:r w:rsidDel="00000000" w:rsidR="00000000" w:rsidRPr="00000000">
        <w:rPr>
          <w:rFonts w:ascii="Times New Roman" w:cs="Times New Roman" w:eastAsia="Times New Roman" w:hAnsi="Times New Roman"/>
          <w:rtl w:val="0"/>
        </w:rPr>
        <w:t xml:space="preserve"> mencerminkan langkah pemerintah memperkuat daya saing melalui pengendalian inflasi, penghapusan kemiskinan ekstrem, serta peningkatan investasi produktif di sektor pendidikan dan infrastruktur berwawasan lingkungan (</w:t>
      </w:r>
      <w:hyperlink r:id="rId33">
        <w:r w:rsidDel="00000000" w:rsidR="00000000" w:rsidRPr="00000000">
          <w:rPr>
            <w:rFonts w:ascii="Times New Roman" w:cs="Times New Roman" w:eastAsia="Times New Roman" w:hAnsi="Times New Roman"/>
            <w:color w:val="000000"/>
            <w:sz w:val="24"/>
            <w:szCs w:val="24"/>
            <w:u w:val="none"/>
            <w:rtl w:val="0"/>
          </w:rPr>
          <w:t xml:space="preserve">Kacaribu &amp; Crystallin, 2022</w:t>
        </w:r>
      </w:hyperlink>
      <w:r w:rsidDel="00000000" w:rsidR="00000000" w:rsidRPr="00000000">
        <w:rPr>
          <w:rFonts w:ascii="Times New Roman" w:cs="Times New Roman" w:eastAsia="Times New Roman" w:hAnsi="Times New Roman"/>
          <w:rtl w:val="0"/>
        </w:rPr>
        <w:t xml:space="preserve">). Tahun berikutnya, APBN 2025 mengusung tema </w:t>
      </w:r>
      <w:r w:rsidDel="00000000" w:rsidR="00000000" w:rsidRPr="00000000">
        <w:rPr>
          <w:rFonts w:ascii="Times New Roman" w:cs="Times New Roman" w:eastAsia="Times New Roman" w:hAnsi="Times New Roman"/>
          <w:i w:val="1"/>
          <w:iCs w:val="1"/>
          <w:rtl w:val="0"/>
        </w:rPr>
        <w:t xml:space="preserve">“Akselerasi Pertumbuhan Ekonomi yang Inklusif dan Berkelanjutan”</w:t>
      </w:r>
      <w:r w:rsidDel="00000000" w:rsidR="00000000" w:rsidRPr="00000000">
        <w:rPr>
          <w:rFonts w:ascii="Times New Roman" w:cs="Times New Roman" w:eastAsia="Times New Roman" w:hAnsi="Times New Roman"/>
          <w:rtl w:val="0"/>
        </w:rPr>
        <w:t xml:space="preserve">dengan fokus pada peningkatan kualitas belanja, pembangunan SDM unggul, serta dorongan menuju ekonomi hijau yang mendukung transisi energi dan efisiensi fiskal nasional (Halimatussadiah &amp; Cesarina, 2020). Sementara itu, RAPBN 2026 menegaskan arah strategis menuju </w:t>
      </w:r>
      <w:r w:rsidDel="00000000" w:rsidR="00000000" w:rsidRPr="00000000">
        <w:rPr>
          <w:rFonts w:ascii="Times New Roman" w:cs="Times New Roman" w:eastAsia="Times New Roman" w:hAnsi="Times New Roman"/>
          <w:i w:val="1"/>
          <w:iCs w:val="1"/>
          <w:rtl w:val="0"/>
        </w:rPr>
        <w:t xml:space="preserve">“Kedaulatan Pangan, Energi, dan Ekonomi”</w:t>
      </w:r>
      <w:r w:rsidDel="00000000" w:rsidR="00000000" w:rsidRPr="00000000">
        <w:rPr>
          <w:rFonts w:ascii="Times New Roman" w:cs="Times New Roman" w:eastAsia="Times New Roman" w:hAnsi="Times New Roman"/>
          <w:rtl w:val="0"/>
        </w:rPr>
        <w:t xml:space="preserve">, menandai komitmen terhadap kemandirian nasional dan ketahanan strategis jangka panjang, sejalan dengan kebijakan bioenergi berbasis kelapa sawit dan diversifikasi energi domestik yang menjadi pilar keamanan energi Indonesia (</w:t>
      </w:r>
      <w:hyperlink r:id="rId34">
        <w:r w:rsidDel="00000000" w:rsidR="00000000" w:rsidRPr="00000000">
          <w:rPr>
            <w:rFonts w:ascii="Times New Roman" w:cs="Times New Roman" w:eastAsia="Times New Roman" w:hAnsi="Times New Roman"/>
            <w:color w:val="000000"/>
            <w:sz w:val="24"/>
            <w:szCs w:val="24"/>
            <w:u w:val="none"/>
            <w:rtl w:val="0"/>
          </w:rPr>
          <w:t xml:space="preserve">Kusumayuda, 2021</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8">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Pergeseran tematik tersebut tidak hanya bersifat administratif, tetapi mencerminkan transisi paradigma kebijakan fiskal Indonesia dari orientasi counter-cyclical menuju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 Transformasi ini menandai reposisi peran negara dari stabilisator pasif menjadi aktor utama pembangunan struktural dan kemandirian ekonomi nasional (</w:t>
      </w:r>
      <w:hyperlink r:id="rId35">
        <w:r w:rsidDel="00000000" w:rsidR="00000000" w:rsidRPr="00000000">
          <w:rPr>
            <w:rFonts w:ascii="Times New Roman" w:cs="Times New Roman" w:eastAsia="Times New Roman" w:hAnsi="Times New Roman"/>
            <w:color w:val="000000"/>
            <w:sz w:val="24"/>
            <w:szCs w:val="24"/>
            <w:u w:val="none"/>
            <w:rtl w:val="0"/>
          </w:rPr>
          <w:t xml:space="preserve">Indrawati &amp; Satriawan, 2024</w:t>
        </w:r>
      </w:hyperlink>
      <w:r w:rsidDel="00000000" w:rsidR="00000000" w:rsidRPr="00000000">
        <w:rPr>
          <w:rFonts w:ascii="Times New Roman" w:cs="Times New Roman" w:eastAsia="Times New Roman" w:hAnsi="Times New Roman"/>
          <w:rtl w:val="0"/>
        </w:rPr>
        <w:t xml:space="preserve">; </w:t>
      </w:r>
      <w:hyperlink r:id="rId36">
        <w:r w:rsidDel="00000000" w:rsidR="00000000" w:rsidRPr="00000000">
          <w:rPr>
            <w:rFonts w:ascii="Times New Roman" w:cs="Times New Roman" w:eastAsia="Times New Roman" w:hAnsi="Times New Roman"/>
            <w:color w:val="000000"/>
            <w:sz w:val="24"/>
            <w:szCs w:val="24"/>
            <w:u w:val="none"/>
            <w:rtl w:val="0"/>
          </w:rPr>
          <w:t xml:space="preserve">Judijanto, 2025</w:t>
        </w:r>
      </w:hyperlink>
      <w:r w:rsidDel="00000000" w:rsidR="00000000" w:rsidRPr="00000000">
        <w:rPr>
          <w:rFonts w:ascii="Times New Roman" w:cs="Times New Roman" w:eastAsia="Times New Roman" w:hAnsi="Times New Roman"/>
          <w:rtl w:val="0"/>
        </w:rPr>
        <w:t xml:space="preserve">). Dalam konteks ini, kebijakan fiskal Indonesia tidak lagi semata-mata berfungsi sebagai alat penstabil makroekonomi, melainkan sebagai motor transformasi struktural menuju perekonomian yang tangguh, inklusif, dan berdaya saing global. Kebijakan tersebut berakar pada agenda </w:t>
      </w:r>
      <w:r w:rsidDel="00000000" w:rsidR="00000000" w:rsidRPr="00000000">
        <w:rPr>
          <w:rFonts w:ascii="Times New Roman" w:cs="Times New Roman" w:eastAsia="Times New Roman" w:hAnsi="Times New Roman"/>
          <w:i w:val="1"/>
          <w:iCs w:val="1"/>
          <w:rtl w:val="0"/>
        </w:rPr>
        <w:t xml:space="preserve">Visi Indonesia Emas 2045</w:t>
      </w:r>
      <w:r w:rsidDel="00000000" w:rsidR="00000000" w:rsidRPr="00000000">
        <w:rPr>
          <w:rFonts w:ascii="Times New Roman" w:cs="Times New Roman" w:eastAsia="Times New Roman" w:hAnsi="Times New Roman"/>
          <w:rtl w:val="0"/>
        </w:rPr>
        <w:t xml:space="preserve">, yang menempatkan pembangunan manusia unggul, penguasaan sumber daya strategis, dan kedaulatan ekonomi nasional sebagai pilar utama pembangunan jangka panjang (</w:t>
      </w:r>
      <w:hyperlink r:id="rId37">
        <w:r w:rsidDel="00000000" w:rsidR="00000000" w:rsidRPr="00000000">
          <w:rPr>
            <w:rFonts w:ascii="Times New Roman" w:cs="Times New Roman" w:eastAsia="Times New Roman" w:hAnsi="Times New Roman"/>
            <w:color w:val="000000"/>
            <w:sz w:val="24"/>
            <w:szCs w:val="24"/>
            <w:u w:val="none"/>
            <w:rtl w:val="0"/>
          </w:rPr>
          <w:t xml:space="preserve">Kacaribu &amp; Crystallin, 2022</w:t>
        </w:r>
      </w:hyperlink>
      <w:r w:rsidDel="00000000" w:rsidR="00000000" w:rsidRPr="00000000">
        <w:rPr>
          <w:rFonts w:ascii="Times New Roman" w:cs="Times New Roman" w:eastAsia="Times New Roman" w:hAnsi="Times New Roman"/>
          <w:rtl w:val="0"/>
        </w:rPr>
        <w:t xml:space="preserve">; Halimatussadiah &amp; Cesarina, 2020). Dengan demikian, APBN kini berfungsi bukan sekadar instrumen teknokratis, tetapi juga artikulator politik ekonomi nasional, merefleksikan kedaulatan fiskal dan arah strategis pembangunan bangsa dalam menghadapi dinamika global dan tekanan geopolitik yang kian kompleks (</w:t>
      </w:r>
      <w:hyperlink r:id="rId38">
        <w:r w:rsidDel="00000000" w:rsidR="00000000" w:rsidRPr="00000000">
          <w:rPr>
            <w:rFonts w:ascii="Times New Roman" w:cs="Times New Roman" w:eastAsia="Times New Roman" w:hAnsi="Times New Roman"/>
            <w:color w:val="000000"/>
            <w:sz w:val="24"/>
            <w:szCs w:val="24"/>
            <w:u w:val="none"/>
            <w:rtl w:val="0"/>
          </w:rPr>
          <w:t xml:space="preserve">Khairi, 2024</w:t>
        </w:r>
      </w:hyperlink>
      <w:r w:rsidDel="00000000" w:rsidR="00000000" w:rsidRPr="00000000">
        <w:rPr>
          <w:rFonts w:ascii="Times New Roman" w:cs="Times New Roman" w:eastAsia="Times New Roman" w:hAnsi="Times New Roman"/>
          <w:rtl w:val="0"/>
        </w:rPr>
        <w:t xml:space="preserve">; </w:t>
      </w:r>
      <w:hyperlink r:id="rId39">
        <w:r w:rsidDel="00000000" w:rsidR="00000000" w:rsidRPr="00000000">
          <w:rPr>
            <w:rFonts w:ascii="Times New Roman" w:cs="Times New Roman" w:eastAsia="Times New Roman" w:hAnsi="Times New Roman"/>
            <w:color w:val="000000"/>
            <w:sz w:val="24"/>
            <w:szCs w:val="24"/>
            <w:u w:val="none"/>
            <w:rtl w:val="0"/>
          </w:rPr>
          <w:t xml:space="preserve">Mahira &amp; Karjoko, 2024</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9">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 sisi implementasi fiskal, kesinambungan kebijakan pemerintah tercermin dalam disiplin defisit anggaran dan peningkatan kualitas belanja publik. Ketiga dokumen APBN menunjukkan tren defisit yang konsisten di bawah 3 persen terhadap PDB yaitu 2,29 persen pada 2024, 2,53 persen pada 2025, dan 2,48 persen dalam RAPBN 2026 yang mencerminkan keberhasilan pemerintah menjaga kredibilitas fiskal tanpa mengorbankan ekspansi pembangunan(</w:t>
      </w:r>
      <w:hyperlink r:id="rId40">
        <w:r w:rsidDel="00000000" w:rsidR="00000000" w:rsidRPr="00000000">
          <w:rPr>
            <w:rFonts w:ascii="Times New Roman" w:cs="Times New Roman" w:eastAsia="Times New Roman" w:hAnsi="Times New Roman"/>
            <w:color w:val="000000"/>
            <w:sz w:val="24"/>
            <w:szCs w:val="24"/>
            <w:u w:val="none"/>
            <w:rtl w:val="0"/>
          </w:rPr>
          <w:t xml:space="preserve">Norrahman, 2024</w:t>
        </w:r>
      </w:hyperlink>
      <w:r w:rsidDel="00000000" w:rsidR="00000000" w:rsidRPr="00000000">
        <w:rPr>
          <w:rFonts w:ascii="Times New Roman" w:cs="Times New Roman" w:eastAsia="Times New Roman" w:hAnsi="Times New Roman"/>
          <w:rtl w:val="0"/>
        </w:rPr>
        <w:t xml:space="preserve">; </w:t>
      </w:r>
      <w:hyperlink r:id="rId41">
        <w:r w:rsidDel="00000000" w:rsidR="00000000" w:rsidRPr="00000000">
          <w:rPr>
            <w:rFonts w:ascii="Times New Roman" w:cs="Times New Roman" w:eastAsia="Times New Roman" w:hAnsi="Times New Roman"/>
            <w:color w:val="000000"/>
            <w:sz w:val="24"/>
            <w:szCs w:val="24"/>
            <w:u w:val="none"/>
            <w:rtl w:val="0"/>
          </w:rPr>
          <w:t xml:space="preserve">Hafel &amp; Ibrahim, 2024</w:t>
        </w:r>
      </w:hyperlink>
      <w:r w:rsidDel="00000000" w:rsidR="00000000" w:rsidRPr="00000000">
        <w:rPr>
          <w:rFonts w:ascii="Times New Roman" w:cs="Times New Roman" w:eastAsia="Times New Roman" w:hAnsi="Times New Roman"/>
          <w:rtl w:val="0"/>
        </w:rPr>
        <w:t xml:space="preserve">). Selain itu, komposisi belanja negara terus mengalami pergeseran ke arah productive spending, terutama pada sektor pendidikan, kesehatan, ketahanan energi, dan perlindungan sosial, yang berfungsi sebagai social investment untuk memperkuat modal manusia dan inklusivitas ekonomi nasional (</w:t>
      </w:r>
      <w:hyperlink r:id="rId42">
        <w:r w:rsidDel="00000000" w:rsidR="00000000" w:rsidRPr="00000000">
          <w:rPr>
            <w:rFonts w:ascii="Times New Roman" w:cs="Times New Roman" w:eastAsia="Times New Roman" w:hAnsi="Times New Roman"/>
            <w:color w:val="000000"/>
            <w:sz w:val="24"/>
            <w:szCs w:val="24"/>
            <w:u w:val="none"/>
            <w:rtl w:val="0"/>
          </w:rPr>
          <w:t xml:space="preserve">Ela, 2025</w:t>
        </w:r>
      </w:hyperlink>
      <w:r w:rsidDel="00000000" w:rsidR="00000000" w:rsidRPr="00000000">
        <w:rPr>
          <w:rFonts w:ascii="Times New Roman" w:cs="Times New Roman" w:eastAsia="Times New Roman" w:hAnsi="Times New Roman"/>
          <w:rtl w:val="0"/>
        </w:rPr>
        <w:t xml:space="preserve">; </w:t>
      </w:r>
      <w:hyperlink r:id="rId43">
        <w:r w:rsidDel="00000000" w:rsidR="00000000" w:rsidRPr="00000000">
          <w:rPr>
            <w:rFonts w:ascii="Times New Roman" w:cs="Times New Roman" w:eastAsia="Times New Roman" w:hAnsi="Times New Roman"/>
            <w:color w:val="000000"/>
            <w:sz w:val="24"/>
            <w:szCs w:val="24"/>
            <w:u w:val="none"/>
            <w:rtl w:val="0"/>
          </w:rPr>
          <w:t xml:space="preserve">Afkar et al., 2020</w:t>
        </w:r>
      </w:hyperlink>
      <w:r w:rsidDel="00000000" w:rsidR="00000000" w:rsidRPr="00000000">
        <w:rPr>
          <w:rFonts w:ascii="Times New Roman" w:cs="Times New Roman" w:eastAsia="Times New Roman" w:hAnsi="Times New Roman"/>
          <w:rtl w:val="0"/>
        </w:rPr>
        <w:t xml:space="preserve">; </w:t>
      </w:r>
      <w:hyperlink r:id="rId44">
        <w:r w:rsidDel="00000000" w:rsidR="00000000" w:rsidRPr="00000000">
          <w:rPr>
            <w:rFonts w:ascii="Times New Roman" w:cs="Times New Roman" w:eastAsia="Times New Roman" w:hAnsi="Times New Roman"/>
            <w:color w:val="000000"/>
            <w:sz w:val="24"/>
            <w:szCs w:val="24"/>
            <w:u w:val="none"/>
            <w:rtl w:val="0"/>
          </w:rPr>
          <w:t xml:space="preserve">Muksin, 2024</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A">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Secara empiris, studi </w:t>
      </w:r>
      <w:r w:rsidDel="00000000" w:rsidR="00000000" w:rsidRPr="00000000">
        <w:rPr>
          <w:rFonts w:ascii="Times New Roman" w:cs="Times New Roman" w:eastAsia="Times New Roman" w:hAnsi="Times New Roman"/>
          <w:i w:val="1"/>
          <w:iCs w:val="1"/>
          <w:rtl w:val="0"/>
        </w:rPr>
        <w:t xml:space="preserve">OECD Economic Outlook on Indonesia</w:t>
      </w:r>
      <w:r w:rsidDel="00000000" w:rsidR="00000000" w:rsidRPr="00000000">
        <w:rPr>
          <w:rFonts w:ascii="Times New Roman" w:cs="Times New Roman" w:eastAsia="Times New Roman" w:hAnsi="Times New Roman"/>
          <w:rtl w:val="0"/>
        </w:rPr>
        <w:t xml:space="preserve"> menunjukkan bahwa alokasi anggaran yang semakin produktif memberikan dampak positif terhadap pertumbuhan PDB dan penguatan daya saing jangka panjang, sekaligus mengurangi ketimpangan regional dan meningkatkan efisiensi belanja publik (Ollivaud, 2017; </w:t>
      </w:r>
      <w:hyperlink r:id="rId45">
        <w:r w:rsidDel="00000000" w:rsidR="00000000" w:rsidRPr="00000000">
          <w:rPr>
            <w:rFonts w:ascii="Times New Roman" w:cs="Times New Roman" w:eastAsia="Times New Roman" w:hAnsi="Times New Roman"/>
            <w:color w:val="000000"/>
            <w:sz w:val="24"/>
            <w:szCs w:val="24"/>
            <w:u w:val="none"/>
            <w:rtl w:val="0"/>
          </w:rPr>
          <w:t xml:space="preserve">Iskandar &amp; Saragih, 2019</w:t>
        </w:r>
      </w:hyperlink>
      <w:r w:rsidDel="00000000" w:rsidR="00000000" w:rsidRPr="00000000">
        <w:rPr>
          <w:rFonts w:ascii="Times New Roman" w:cs="Times New Roman" w:eastAsia="Times New Roman" w:hAnsi="Times New Roman"/>
          <w:rtl w:val="0"/>
        </w:rPr>
        <w:t xml:space="preserve">). Tren ini diperkuat melalui reformasi APBN 2026 yang mengintegrasikan pendekatan “fiscal-green and social analysis”, menghubungkan agenda transisi menuju carbon neutrality dengan kebijakan perlindungan sosial yang inklusif, mencerminkan sinergi antara </w:t>
      </w:r>
      <w:r w:rsidDel="00000000" w:rsidR="00000000" w:rsidRPr="00000000">
        <w:rPr>
          <w:rFonts w:ascii="Times New Roman" w:cs="Times New Roman" w:eastAsia="Times New Roman" w:hAnsi="Times New Roman"/>
          <w:i w:val="1"/>
          <w:iCs w:val="1"/>
          <w:rtl w:val="0"/>
        </w:rPr>
        <w:t xml:space="preserve">sustainability</w:t>
      </w:r>
      <w:r w:rsidDel="00000000" w:rsidR="00000000" w:rsidRPr="00000000">
        <w:rPr>
          <w:rFonts w:ascii="Times New Roman" w:cs="Times New Roman" w:eastAsia="Times New Roman" w:hAnsi="Times New Roman"/>
          <w:rtl w:val="0"/>
        </w:rPr>
        <w:t xml:space="preserve"> dan </w:t>
      </w:r>
      <w:r w:rsidDel="00000000" w:rsidR="00000000" w:rsidRPr="00000000">
        <w:rPr>
          <w:rFonts w:ascii="Times New Roman" w:cs="Times New Roman" w:eastAsia="Times New Roman" w:hAnsi="Times New Roman"/>
          <w:i w:val="1"/>
          <w:iCs w:val="1"/>
          <w:rtl w:val="0"/>
        </w:rPr>
        <w:t xml:space="preserve">social justice</w:t>
      </w:r>
      <w:r w:rsidDel="00000000" w:rsidR="00000000" w:rsidRPr="00000000">
        <w:rPr>
          <w:rFonts w:ascii="Times New Roman" w:cs="Times New Roman" w:eastAsia="Times New Roman" w:hAnsi="Times New Roman"/>
          <w:rtl w:val="0"/>
        </w:rPr>
        <w:t xml:space="preserve"> dalam desain fiskal Indonesia modern (</w:t>
      </w:r>
      <w:hyperlink r:id="rId46">
        <w:r w:rsidDel="00000000" w:rsidR="00000000" w:rsidRPr="00000000">
          <w:rPr>
            <w:rFonts w:ascii="Times New Roman" w:cs="Times New Roman" w:eastAsia="Times New Roman" w:hAnsi="Times New Roman"/>
            <w:color w:val="000000"/>
            <w:sz w:val="24"/>
            <w:szCs w:val="24"/>
            <w:u w:val="none"/>
            <w:rtl w:val="0"/>
          </w:rPr>
          <w:t xml:space="preserve">Ela, 2025</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B">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Meskipun berbagai studi telah menyoroti peran APBN dalam mendukung pemulihan ekonomi selama pandemi, penelitian yang menelaah pergeseran arah kebijakan fiskal pasca-pandemi, khususnya periode 2024–2026, masih relatif terbatas. Sebagian besar kajian berfokus pada efektivitas stimulus fiskal, reformasi perpajakan, atau penanganan krisis kesehatan, tanpa mengulas secara mendalam perubahan paradigma kebijakan fiskal dalam konteks kemandirian ekonomi nasional (</w:t>
      </w:r>
      <w:hyperlink r:id="rId47">
        <w:r w:rsidDel="00000000" w:rsidR="00000000" w:rsidRPr="00000000">
          <w:rPr>
            <w:rFonts w:ascii="Times New Roman" w:cs="Times New Roman" w:eastAsia="Times New Roman" w:hAnsi="Times New Roman"/>
            <w:color w:val="000000"/>
            <w:sz w:val="24"/>
            <w:szCs w:val="24"/>
            <w:u w:val="none"/>
            <w:rtl w:val="0"/>
          </w:rPr>
          <w:t xml:space="preserve">Patra, 2025</w:t>
        </w:r>
      </w:hyperlink>
      <w:r w:rsidDel="00000000" w:rsidR="00000000" w:rsidRPr="00000000">
        <w:rPr>
          <w:rFonts w:ascii="Times New Roman" w:cs="Times New Roman" w:eastAsia="Times New Roman" w:hAnsi="Times New Roman"/>
          <w:rtl w:val="0"/>
        </w:rPr>
        <w:t xml:space="preserve">; </w:t>
      </w:r>
      <w:hyperlink r:id="rId48">
        <w:r w:rsidDel="00000000" w:rsidR="00000000" w:rsidRPr="00000000">
          <w:rPr>
            <w:rFonts w:ascii="Times New Roman" w:cs="Times New Roman" w:eastAsia="Times New Roman" w:hAnsi="Times New Roman"/>
            <w:color w:val="000000"/>
            <w:sz w:val="24"/>
            <w:szCs w:val="24"/>
            <w:u w:val="none"/>
            <w:rtl w:val="0"/>
          </w:rPr>
          <w:t xml:space="preserve">Pulipaka et al., 2023</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C">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Padahal, periode transisi ini sangat strategis karena menjadi landasan perumusan arah kebijakan fiskal menengah Indonesia menuju pemerintahan baru dan tahapan awal menuju Visi Indonesia Emas 2045 sebagaimana ditegaskan dalam </w:t>
      </w:r>
      <w:r w:rsidDel="00000000" w:rsidR="00000000" w:rsidRPr="00000000">
        <w:rPr>
          <w:rFonts w:ascii="Times New Roman" w:cs="Times New Roman" w:eastAsia="Times New Roman" w:hAnsi="Times New Roman"/>
          <w:i w:val="1"/>
          <w:iCs w:val="1"/>
          <w:rtl w:val="0"/>
        </w:rPr>
        <w:t xml:space="preserve">Rencana Pembangunan Jangka Panjang Nasional (RPJPN) 2025–2045</w:t>
      </w:r>
      <w:r w:rsidDel="00000000" w:rsidR="00000000" w:rsidRPr="00000000">
        <w:rPr>
          <w:rFonts w:ascii="Times New Roman" w:cs="Times New Roman" w:eastAsia="Times New Roman" w:hAnsi="Times New Roman"/>
          <w:rtl w:val="0"/>
        </w:rPr>
        <w:t xml:space="preserve"> yang menggarisbawahi transformasi ekonomi, ketahanan pangan-energi, dan pembangunan manusia unggul sebagai fondasi kemandirian ekonomi (Aun, 2022). Kekosongan literatur ini menunjukkan adanya celah riset (research gap) dalam diskursus ilmiah tentang evolusi kebijakan fiskal Indonesia pasca-krisis global, yang belum banyak menyoroti dimensi politik-ekonomi dan transisi paradigma dari </w:t>
      </w:r>
      <w:r w:rsidDel="00000000" w:rsidR="00000000" w:rsidRPr="00000000">
        <w:rPr>
          <w:rFonts w:ascii="Times New Roman" w:cs="Times New Roman" w:eastAsia="Times New Roman" w:hAnsi="Times New Roman"/>
          <w:i w:val="1"/>
          <w:iCs w:val="1"/>
          <w:rtl w:val="0"/>
        </w:rPr>
        <w:t xml:space="preserve">counter-cyclical</w:t>
      </w:r>
      <w:r w:rsidDel="00000000" w:rsidR="00000000" w:rsidRPr="00000000">
        <w:rPr>
          <w:rFonts w:ascii="Times New Roman" w:cs="Times New Roman" w:eastAsia="Times New Roman" w:hAnsi="Times New Roman"/>
          <w:rtl w:val="0"/>
        </w:rPr>
        <w:t xml:space="preserve"> ke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 (</w:t>
      </w:r>
      <w:hyperlink r:id="rId49">
        <w:r w:rsidDel="00000000" w:rsidR="00000000" w:rsidRPr="00000000">
          <w:rPr>
            <w:rFonts w:ascii="Times New Roman" w:cs="Times New Roman" w:eastAsia="Times New Roman" w:hAnsi="Times New Roman"/>
            <w:color w:val="000000"/>
            <w:sz w:val="24"/>
            <w:szCs w:val="24"/>
            <w:u w:val="none"/>
            <w:rtl w:val="0"/>
          </w:rPr>
          <w:t xml:space="preserve">Rahman, 2023</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D">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Berdasarkan konteks tersebut, penelitian ini bertujuan untuk mengidentifikasi pola perubahan arah kebijakan fiskal Indonesia pada periode 2024–2026 melalui analisis deskriptif-komparatif terhadap dokumen resmi </w:t>
      </w:r>
      <w:r w:rsidDel="00000000" w:rsidR="00000000" w:rsidRPr="00000000">
        <w:rPr>
          <w:rFonts w:ascii="Times New Roman" w:cs="Times New Roman" w:eastAsia="Times New Roman" w:hAnsi="Times New Roman"/>
          <w:i w:val="1"/>
          <w:iCs w:val="1"/>
          <w:rtl w:val="0"/>
        </w:rPr>
        <w:t xml:space="preserve">Informasi APBN </w:t>
      </w:r>
      <w:r w:rsidDel="00000000" w:rsidR="00000000" w:rsidRPr="00000000">
        <w:rPr>
          <w:rFonts w:ascii="Times New Roman" w:cs="Times New Roman" w:eastAsia="Times New Roman" w:hAnsi="Times New Roman"/>
          <w:rtl w:val="0"/>
        </w:rPr>
        <w:t xml:space="preserve">dan </w:t>
      </w:r>
      <w:r w:rsidDel="00000000" w:rsidR="00000000" w:rsidRPr="00000000">
        <w:rPr>
          <w:rFonts w:ascii="Times New Roman" w:cs="Times New Roman" w:eastAsia="Times New Roman" w:hAnsi="Times New Roman"/>
          <w:i w:val="1"/>
          <w:iCs w:val="1"/>
          <w:rtl w:val="0"/>
        </w:rPr>
        <w:t xml:space="preserve">RAPBN</w:t>
      </w:r>
      <w:r w:rsidDel="00000000" w:rsidR="00000000" w:rsidRPr="00000000">
        <w:rPr>
          <w:rFonts w:ascii="Times New Roman" w:cs="Times New Roman" w:eastAsia="Times New Roman" w:hAnsi="Times New Roman"/>
          <w:rtl w:val="0"/>
        </w:rPr>
        <w:t xml:space="preserve"> yang diterbitkan oleh Kementerian Keuangan Republik Indonesia. Analisis ini tidak hanya berfokus pada aspek nominal atau struktural anggaran, tetapi juga menelaah narasi tematik dan orientasi kebijakan fiskal yang mencerminkan pergeseran paradigma dari </w:t>
      </w:r>
      <w:r w:rsidDel="00000000" w:rsidR="00000000" w:rsidRPr="00000000">
        <w:rPr>
          <w:rFonts w:ascii="Times New Roman" w:cs="Times New Roman" w:eastAsia="Times New Roman" w:hAnsi="Times New Roman"/>
          <w:i w:val="1"/>
          <w:iCs w:val="1"/>
          <w:rtl w:val="0"/>
        </w:rPr>
        <w:t xml:space="preserve">counter-cyclical</w:t>
      </w:r>
      <w:r w:rsidDel="00000000" w:rsidR="00000000" w:rsidRPr="00000000">
        <w:rPr>
          <w:rFonts w:ascii="Times New Roman" w:cs="Times New Roman" w:eastAsia="Times New Roman" w:hAnsi="Times New Roman"/>
          <w:rtl w:val="0"/>
        </w:rPr>
        <w:t xml:space="preserve"> menuju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E">
      <w:pPr>
        <w:spacing w:after="120" w:before="12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120" w:before="12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KAJIAN PUSTAKA DAN PERUMUSAN HIPOTESIS</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Paradigma Kebijakan Fiskal dalam Konteks Pasca-Pandemi</w:t>
      </w:r>
    </w:p>
    <w:p w:rsidR="00000000" w:rsidDel="00000000" w:rsidP="00000000" w:rsidRDefault="00000000" w:rsidRPr="00000000" w14:paraId="00000052">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Pandemi COVID-19 telah menjadi titik balik (inflection point) dalam tata kelola ekonomi global dan nasional. Pada konteks Indonesia, pandemi mendorong reposisi kebijakan fiskal dari peran tradisionalnya sebagai </w:t>
      </w:r>
      <w:r w:rsidDel="00000000" w:rsidR="00000000" w:rsidRPr="00000000">
        <w:rPr>
          <w:rFonts w:ascii="Times New Roman" w:cs="Times New Roman" w:eastAsia="Times New Roman" w:hAnsi="Times New Roman"/>
          <w:i w:val="1"/>
          <w:iCs w:val="1"/>
          <w:rtl w:val="0"/>
        </w:rPr>
        <w:t xml:space="preserve">counter-cyclical stabilizer</w:t>
      </w:r>
      <w:r w:rsidDel="00000000" w:rsidR="00000000" w:rsidRPr="00000000">
        <w:rPr>
          <w:rFonts w:ascii="Times New Roman" w:cs="Times New Roman" w:eastAsia="Times New Roman" w:hAnsi="Times New Roman"/>
          <w:rtl w:val="0"/>
        </w:rPr>
        <w:t xml:space="preserve"> menuju instrumen transformasi struktural dan ketahanan nasional (</w:t>
      </w:r>
      <w:hyperlink r:id="rId50">
        <w:r w:rsidDel="00000000" w:rsidR="00000000" w:rsidRPr="00000000">
          <w:rPr>
            <w:rFonts w:ascii="Times New Roman" w:cs="Times New Roman" w:eastAsia="Times New Roman" w:hAnsi="Times New Roman"/>
            <w:color w:val="000000"/>
            <w:sz w:val="24"/>
            <w:szCs w:val="24"/>
            <w:u w:val="none"/>
            <w:rtl w:val="0"/>
          </w:rPr>
          <w:t xml:space="preserve">Ramesh, 2025</w:t>
        </w:r>
      </w:hyperlink>
      <w:r w:rsidDel="00000000" w:rsidR="00000000" w:rsidRPr="00000000">
        <w:rPr>
          <w:rFonts w:ascii="Times New Roman" w:cs="Times New Roman" w:eastAsia="Times New Roman" w:hAnsi="Times New Roman"/>
          <w:rtl w:val="0"/>
        </w:rPr>
        <w:t xml:space="preserve">). Kebijakan fiskal pasca-pandemi tidak hanya berfungsi menahan gejolak ekonomi, tetapi juga menjadi alat untuk membangun fondasi ekonomi berkelanjutan, dengan orientasi pada </w:t>
      </w:r>
      <w:r w:rsidDel="00000000" w:rsidR="00000000" w:rsidRPr="00000000">
        <w:rPr>
          <w:rFonts w:ascii="Times New Roman" w:cs="Times New Roman" w:eastAsia="Times New Roman" w:hAnsi="Times New Roman"/>
          <w:i w:val="1"/>
          <w:iCs w:val="1"/>
          <w:rtl w:val="0"/>
        </w:rPr>
        <w:t xml:space="preserve">inclusive recovery</w:t>
      </w:r>
      <w:r w:rsidDel="00000000" w:rsidR="00000000" w:rsidRPr="00000000">
        <w:rPr>
          <w:rFonts w:ascii="Times New Roman" w:cs="Times New Roman" w:eastAsia="Times New Roman" w:hAnsi="Times New Roman"/>
          <w:rtl w:val="0"/>
        </w:rPr>
        <w:t xml:space="preserve">, ketahanan sosial, dan transisi energi hijau (</w:t>
      </w:r>
      <w:hyperlink r:id="rId51">
        <w:r w:rsidDel="00000000" w:rsidR="00000000" w:rsidRPr="00000000">
          <w:rPr>
            <w:rFonts w:ascii="Times New Roman" w:cs="Times New Roman" w:eastAsia="Times New Roman" w:hAnsi="Times New Roman"/>
            <w:color w:val="000000"/>
            <w:sz w:val="24"/>
            <w:szCs w:val="24"/>
            <w:u w:val="none"/>
            <w:rtl w:val="0"/>
          </w:rPr>
          <w:t xml:space="preserve">UN ESCAP, 2025</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3">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Kajian oleh </w:t>
      </w:r>
      <w:hyperlink r:id="rId52">
        <w:r w:rsidDel="00000000" w:rsidR="00000000" w:rsidRPr="00000000">
          <w:rPr>
            <w:rFonts w:ascii="Times New Roman" w:cs="Times New Roman" w:eastAsia="Times New Roman" w:hAnsi="Times New Roman"/>
            <w:color w:val="000000"/>
            <w:sz w:val="24"/>
            <w:szCs w:val="24"/>
            <w:u w:val="none"/>
            <w:rtl w:val="0"/>
          </w:rPr>
          <w:t xml:space="preserve">Weber (2025)</w:t>
        </w:r>
      </w:hyperlink>
      <w:r w:rsidDel="00000000" w:rsidR="00000000" w:rsidRPr="00000000">
        <w:rPr>
          <w:rFonts w:ascii="Times New Roman" w:cs="Times New Roman" w:eastAsia="Times New Roman" w:hAnsi="Times New Roman"/>
          <w:rtl w:val="0"/>
        </w:rPr>
        <w:t xml:space="preserve"> menegaskan bahwa negara-negara ASEAN, termasuk Indonesia, menghadapi tantangan untuk menyeimbangkan inklusivitas pertumbuhan dengan disiplin fiskal, yang sering kali bersinggungan dengan agenda dekarbonisasi dan adaptasi iklim. Hal ini menunjukkan bahwa </w:t>
      </w:r>
      <w:r w:rsidDel="00000000" w:rsidR="00000000" w:rsidRPr="00000000">
        <w:rPr>
          <w:rFonts w:ascii="Times New Roman" w:cs="Times New Roman" w:eastAsia="Times New Roman" w:hAnsi="Times New Roman"/>
          <w:i w:val="1"/>
          <w:iCs w:val="1"/>
          <w:rtl w:val="0"/>
        </w:rPr>
        <w:t xml:space="preserve">sustainable fiscal management</w:t>
      </w:r>
      <w:r w:rsidDel="00000000" w:rsidR="00000000" w:rsidRPr="00000000">
        <w:rPr>
          <w:rFonts w:ascii="Times New Roman" w:cs="Times New Roman" w:eastAsia="Times New Roman" w:hAnsi="Times New Roman"/>
          <w:rtl w:val="0"/>
        </w:rPr>
        <w:t xml:space="preserve"> menjadi pondasi utama bagi stabilitas jangka panjang di era pasca-pandemi. Dengan demikian, paradigma fiskal pasca-pandemi di Indonesia tidak lagi berorientasi jangka pendek, melainkan diarahkan untuk membentuk kedaulatan ekonomi (fiscal sovereignty) melalui diversifikasi pendapatan, efisiensi belanja, dan penguatan kapasitas institusional fiskal.</w:t>
      </w:r>
    </w:p>
    <w:p w:rsidR="00000000" w:rsidDel="00000000" w:rsidP="00000000" w:rsidRDefault="00000000" w:rsidRPr="00000000" w14:paraId="00000054">
      <w:pPr>
        <w:spacing w:after="120" w:before="120" w:line="276"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rtl w:val="0"/>
        </w:rPr>
        <w:t xml:space="preserve">Pergeseran Menuju </w:t>
      </w:r>
      <w:r w:rsidDel="00000000" w:rsidR="00000000" w:rsidRPr="00000000">
        <w:rPr>
          <w:rFonts w:ascii="Times New Roman" w:cs="Times New Roman" w:eastAsia="Times New Roman" w:hAnsi="Times New Roman"/>
          <w:b w:val="1"/>
          <w:bCs w:val="1"/>
          <w:i w:val="1"/>
          <w:iCs w:val="1"/>
          <w:rtl w:val="0"/>
        </w:rPr>
        <w:t xml:space="preserve">Developmental </w:t>
      </w:r>
      <w:r w:rsidDel="00000000" w:rsidR="00000000" w:rsidRPr="00000000">
        <w:rPr>
          <w:rFonts w:ascii="Times New Roman" w:cs="Times New Roman" w:eastAsia="Times New Roman" w:hAnsi="Times New Roman"/>
          <w:b w:val="1"/>
          <w:bCs w:val="1"/>
          <w:rtl w:val="0"/>
        </w:rPr>
        <w:t xml:space="preserve">dan </w:t>
      </w:r>
      <w:r w:rsidDel="00000000" w:rsidR="00000000" w:rsidRPr="00000000">
        <w:rPr>
          <w:rFonts w:ascii="Times New Roman" w:cs="Times New Roman" w:eastAsia="Times New Roman" w:hAnsi="Times New Roman"/>
          <w:b w:val="1"/>
          <w:bCs w:val="1"/>
          <w:i w:val="1"/>
          <w:iCs w:val="1"/>
          <w:rtl w:val="0"/>
        </w:rPr>
        <w:t xml:space="preserve">Sovereignty-Oriented Fiscal Policy</w:t>
      </w:r>
    </w:p>
    <w:p w:rsidR="00000000" w:rsidDel="00000000" w:rsidP="00000000" w:rsidRDefault="00000000" w:rsidRPr="00000000" w14:paraId="00000055">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Transformasi arah kebijakan fiskal Indonesia periode 2024–2026 mencerminkan pergeseran paradigma dari krisis menuju pembangunan berdaulat. Dalam </w:t>
      </w:r>
      <w:r w:rsidDel="00000000" w:rsidR="00000000" w:rsidRPr="00000000">
        <w:rPr>
          <w:rFonts w:ascii="Times New Roman" w:cs="Times New Roman" w:eastAsia="Times New Roman" w:hAnsi="Times New Roman"/>
          <w:i w:val="1"/>
          <w:iCs w:val="1"/>
          <w:rtl w:val="0"/>
        </w:rPr>
        <w:t xml:space="preserve">Economic and Business Outlook 2023</w:t>
      </w:r>
      <w:r w:rsidDel="00000000" w:rsidR="00000000" w:rsidRPr="00000000">
        <w:rPr>
          <w:rFonts w:ascii="Times New Roman" w:cs="Times New Roman" w:eastAsia="Times New Roman" w:hAnsi="Times New Roman"/>
          <w:rtl w:val="0"/>
        </w:rPr>
        <w:t xml:space="preserve">, </w:t>
      </w:r>
      <w:hyperlink r:id="rId53">
        <w:r w:rsidDel="00000000" w:rsidR="00000000" w:rsidRPr="00000000">
          <w:rPr>
            <w:rFonts w:ascii="Times New Roman" w:cs="Times New Roman" w:eastAsia="Times New Roman" w:hAnsi="Times New Roman"/>
            <w:color w:val="000000"/>
            <w:sz w:val="24"/>
            <w:szCs w:val="24"/>
            <w:u w:val="none"/>
            <w:rtl w:val="0"/>
          </w:rPr>
          <w:t xml:space="preserve">Hasudungan et al. (2023)</w:t>
        </w:r>
      </w:hyperlink>
      <w:r w:rsidDel="00000000" w:rsidR="00000000" w:rsidRPr="00000000">
        <w:rPr>
          <w:rFonts w:ascii="Times New Roman" w:cs="Times New Roman" w:eastAsia="Times New Roman" w:hAnsi="Times New Roman"/>
          <w:rtl w:val="0"/>
        </w:rPr>
        <w:t xml:space="preserve"> menegaskan bahwa konsolidasi fiskal Indonesia berorientasi pada </w:t>
      </w:r>
      <w:r w:rsidDel="00000000" w:rsidR="00000000" w:rsidRPr="00000000">
        <w:rPr>
          <w:rFonts w:ascii="Times New Roman" w:cs="Times New Roman" w:eastAsia="Times New Roman" w:hAnsi="Times New Roman"/>
          <w:i w:val="1"/>
          <w:iCs w:val="1"/>
          <w:rtl w:val="0"/>
        </w:rPr>
        <w:t xml:space="preserve">structural upgrading</w:t>
      </w:r>
      <w:r w:rsidDel="00000000" w:rsidR="00000000" w:rsidRPr="00000000">
        <w:rPr>
          <w:rFonts w:ascii="Times New Roman" w:cs="Times New Roman" w:eastAsia="Times New Roman" w:hAnsi="Times New Roman"/>
          <w:rtl w:val="0"/>
        </w:rPr>
        <w:t xml:space="preserve">, investasi hijau, dan peningkatan kapasitas SDM nasional. Kebijakan ini memperkuat legitimasi negara dalam pembangunan, menempatkan APBN sebagai instrumen politik-ekonomi untuk mendukung kemandirian strategis dan daya tahan fiskal jangka panjang. </w:t>
      </w:r>
    </w:p>
    <w:p w:rsidR="00000000" w:rsidDel="00000000" w:rsidP="00000000" w:rsidRDefault="00000000" w:rsidRPr="00000000" w14:paraId="00000056">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Sementara itu, studi </w:t>
      </w:r>
      <w:hyperlink r:id="rId54">
        <w:r w:rsidDel="00000000" w:rsidR="00000000" w:rsidRPr="00000000">
          <w:rPr>
            <w:rFonts w:ascii="Times New Roman" w:cs="Times New Roman" w:eastAsia="Times New Roman" w:hAnsi="Times New Roman"/>
            <w:color w:val="000000"/>
            <w:sz w:val="24"/>
            <w:szCs w:val="24"/>
            <w:u w:val="none"/>
            <w:rtl w:val="0"/>
          </w:rPr>
          <w:t xml:space="preserve">Dorigné-Thomson (2023)</w:t>
        </w:r>
      </w:hyperlink>
      <w:r w:rsidDel="00000000" w:rsidR="00000000" w:rsidRPr="00000000">
        <w:rPr>
          <w:rFonts w:ascii="Times New Roman" w:cs="Times New Roman" w:eastAsia="Times New Roman" w:hAnsi="Times New Roman"/>
          <w:rtl w:val="0"/>
        </w:rPr>
        <w:t xml:space="preserve"> menyoroti peran Indonesia sebagai </w:t>
      </w:r>
      <w:r w:rsidDel="00000000" w:rsidR="00000000" w:rsidRPr="00000000">
        <w:rPr>
          <w:rFonts w:ascii="Times New Roman" w:cs="Times New Roman" w:eastAsia="Times New Roman" w:hAnsi="Times New Roman"/>
          <w:i w:val="1"/>
          <w:iCs w:val="1"/>
          <w:rtl w:val="0"/>
        </w:rPr>
        <w:t xml:space="preserve">Asian developmental power</w:t>
      </w:r>
      <w:r w:rsidDel="00000000" w:rsidR="00000000" w:rsidRPr="00000000">
        <w:rPr>
          <w:rFonts w:ascii="Times New Roman" w:cs="Times New Roman" w:eastAsia="Times New Roman" w:hAnsi="Times New Roman"/>
          <w:rtl w:val="0"/>
        </w:rPr>
        <w:t xml:space="preserve"> yang menyeimbangkan pertumbuhan ekonomi dengan kepemilikan sumber daya strategis. Dalam konteks ini,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 menjadi refleksi dari kemampuan negara mempertahankan otonomi fiskal di tengah arsitektur ekonomi global yang kian terfragmentasi. Kebijakan fiskal Indonesia kini dikaitkan pula dengan pembangunan berkelanjutan dan pergeseran kontrak sosial fiskal. </w:t>
      </w:r>
      <w:hyperlink r:id="rId55">
        <w:r w:rsidDel="00000000" w:rsidR="00000000" w:rsidRPr="00000000">
          <w:rPr>
            <w:rFonts w:ascii="Times New Roman" w:cs="Times New Roman" w:eastAsia="Times New Roman" w:hAnsi="Times New Roman"/>
            <w:color w:val="000000"/>
            <w:sz w:val="24"/>
            <w:szCs w:val="24"/>
            <w:u w:val="none"/>
            <w:rtl w:val="0"/>
          </w:rPr>
          <w:t xml:space="preserve">Hujo &amp; Fuentes-Nieva (2024)</w:t>
        </w:r>
      </w:hyperlink>
      <w:r w:rsidDel="00000000" w:rsidR="00000000" w:rsidRPr="00000000">
        <w:rPr>
          <w:rFonts w:ascii="Times New Roman" w:cs="Times New Roman" w:eastAsia="Times New Roman" w:hAnsi="Times New Roman"/>
          <w:rtl w:val="0"/>
        </w:rPr>
        <w:t xml:space="preserve"> menyebutnya sebagai upaya menuju </w:t>
      </w:r>
      <w:r w:rsidDel="00000000" w:rsidR="00000000" w:rsidRPr="00000000">
        <w:rPr>
          <w:rFonts w:ascii="Times New Roman" w:cs="Times New Roman" w:eastAsia="Times New Roman" w:hAnsi="Times New Roman"/>
          <w:i w:val="1"/>
          <w:iCs w:val="1"/>
          <w:rtl w:val="0"/>
        </w:rPr>
        <w:t xml:space="preserve">fair fiscal contract</w:t>
      </w:r>
      <w:r w:rsidDel="00000000" w:rsidR="00000000" w:rsidRPr="00000000">
        <w:rPr>
          <w:rFonts w:ascii="Times New Roman" w:cs="Times New Roman" w:eastAsia="Times New Roman" w:hAnsi="Times New Roman"/>
          <w:rtl w:val="0"/>
        </w:rPr>
        <w:t xml:space="preserve">, dimana pemerintah memperkuat legitimasi fiskal dengan menyeimbangkan antara redistribusi sosial dan efisiensi ekonomi.</w:t>
      </w:r>
    </w:p>
    <w:p w:rsidR="00000000" w:rsidDel="00000000" w:rsidP="00000000" w:rsidRDefault="00000000" w:rsidRPr="00000000" w14:paraId="00000057">
      <w:pPr>
        <w:spacing w:after="120" w:before="120" w:line="276"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rtl w:val="0"/>
        </w:rPr>
        <w:t xml:space="preserve">Literatur Empiris dan </w:t>
      </w:r>
      <w:r w:rsidDel="00000000" w:rsidR="00000000" w:rsidRPr="00000000">
        <w:rPr>
          <w:rFonts w:ascii="Times New Roman" w:cs="Times New Roman" w:eastAsia="Times New Roman" w:hAnsi="Times New Roman"/>
          <w:b w:val="1"/>
          <w:bCs w:val="1"/>
          <w:i w:val="1"/>
          <w:iCs w:val="1"/>
          <w:rtl w:val="0"/>
        </w:rPr>
        <w:t xml:space="preserve">Research Gap</w:t>
      </w:r>
    </w:p>
    <w:p w:rsidR="00000000" w:rsidDel="00000000" w:rsidP="00000000" w:rsidRDefault="00000000" w:rsidRPr="00000000" w14:paraId="00000058">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Kajian empiris menunjukkan bahwa periode 2024–2026 menjadi masa krusial bagi konsolidasi dan inovasi fiskal Indonesia. </w:t>
      </w:r>
      <w:hyperlink r:id="rId56">
        <w:r w:rsidDel="00000000" w:rsidR="00000000" w:rsidRPr="00000000">
          <w:rPr>
            <w:rFonts w:ascii="Times New Roman" w:cs="Times New Roman" w:eastAsia="Times New Roman" w:hAnsi="Times New Roman"/>
            <w:color w:val="000000"/>
            <w:sz w:val="24"/>
            <w:szCs w:val="24"/>
            <w:u w:val="none"/>
            <w:rtl w:val="0"/>
          </w:rPr>
          <w:t xml:space="preserve">Satria (2025)</w:t>
        </w:r>
      </w:hyperlink>
      <w:r w:rsidDel="00000000" w:rsidR="00000000" w:rsidRPr="00000000">
        <w:rPr>
          <w:rFonts w:ascii="Times New Roman" w:cs="Times New Roman" w:eastAsia="Times New Roman" w:hAnsi="Times New Roman"/>
          <w:rtl w:val="0"/>
        </w:rPr>
        <w:t xml:space="preserve"> menjelaskan bahwa transformasi fiskal di Indonesia merupakan respons adaptif terhadap tekanan global dan kebutuhan internal untuk memperkuat </w:t>
      </w:r>
      <w:r w:rsidDel="00000000" w:rsidR="00000000" w:rsidRPr="00000000">
        <w:rPr>
          <w:rFonts w:ascii="Times New Roman" w:cs="Times New Roman" w:eastAsia="Times New Roman" w:hAnsi="Times New Roman"/>
          <w:i w:val="1"/>
          <w:iCs w:val="1"/>
          <w:rtl w:val="0"/>
        </w:rPr>
        <w:t xml:space="preserve">inclusive growth</w:t>
      </w:r>
      <w:r w:rsidDel="00000000" w:rsidR="00000000" w:rsidRPr="00000000">
        <w:rPr>
          <w:rFonts w:ascii="Times New Roman" w:cs="Times New Roman" w:eastAsia="Times New Roman" w:hAnsi="Times New Roman"/>
          <w:rtl w:val="0"/>
        </w:rPr>
        <w:t xml:space="preserve">. Namun, sebagian besar penelitian yang ada masih menyoroti efektivitas stimulus dan reformasi perpajakan, belum secara sistematis mengulas pergeseran paradigma fiskal menuju kemandirian dan kedaulatan ekonomi nasional.</w:t>
      </w:r>
    </w:p>
    <w:p w:rsidR="00000000" w:rsidDel="00000000" w:rsidP="00000000" w:rsidRDefault="00000000" w:rsidRPr="00000000" w14:paraId="00000059">
      <w:pPr>
        <w:spacing w:after="120" w:before="120" w:line="276" w:lineRule="auto"/>
        <w:ind w:firstLine="720"/>
        <w:jc w:val="both"/>
        <w:rPr>
          <w:rFonts w:ascii="Times New Roman" w:cs="Times New Roman" w:eastAsia="Times New Roman" w:hAnsi="Times New Roman"/>
        </w:rPr>
      </w:pPr>
      <w:hyperlink r:id="rId57">
        <w:r w:rsidDel="00000000" w:rsidR="00000000" w:rsidRPr="00000000">
          <w:rPr>
            <w:rFonts w:ascii="Times New Roman" w:cs="Times New Roman" w:eastAsia="Times New Roman" w:hAnsi="Times New Roman"/>
            <w:color w:val="000000"/>
            <w:sz w:val="24"/>
            <w:szCs w:val="24"/>
            <w:u w:val="none"/>
            <w:rtl w:val="0"/>
          </w:rPr>
          <w:t xml:space="preserve">Grabel (2024)</w:t>
        </w:r>
      </w:hyperlink>
      <w:r w:rsidDel="00000000" w:rsidR="00000000" w:rsidRPr="00000000">
        <w:rPr>
          <w:rFonts w:ascii="Times New Roman" w:cs="Times New Roman" w:eastAsia="Times New Roman" w:hAnsi="Times New Roman"/>
          <w:rtl w:val="0"/>
        </w:rPr>
        <w:t xml:space="preserve"> menekankan pentingnya memperluas </w:t>
      </w:r>
      <w:r w:rsidDel="00000000" w:rsidR="00000000" w:rsidRPr="00000000">
        <w:rPr>
          <w:rFonts w:ascii="Times New Roman" w:cs="Times New Roman" w:eastAsia="Times New Roman" w:hAnsi="Times New Roman"/>
          <w:i w:val="1"/>
          <w:iCs w:val="1"/>
          <w:rtl w:val="0"/>
        </w:rPr>
        <w:t xml:space="preserve">fiscal space</w:t>
      </w:r>
      <w:r w:rsidDel="00000000" w:rsidR="00000000" w:rsidRPr="00000000">
        <w:rPr>
          <w:rFonts w:ascii="Times New Roman" w:cs="Times New Roman" w:eastAsia="Times New Roman" w:hAnsi="Times New Roman"/>
          <w:rtl w:val="0"/>
        </w:rPr>
        <w:t xml:space="preserve"> melalui reformasi utang, pembiayaan konsesional, dan inovasi fiskal yang berpihak pada stabilitas makro jangka panjang. Namun, studi mengenai bagaimana Indonesia menginternalisasi strategi ini dalam kerangka </w:t>
      </w:r>
      <w:r w:rsidDel="00000000" w:rsidR="00000000" w:rsidRPr="00000000">
        <w:rPr>
          <w:rFonts w:ascii="Times New Roman" w:cs="Times New Roman" w:eastAsia="Times New Roman" w:hAnsi="Times New Roman"/>
          <w:i w:val="1"/>
          <w:iCs w:val="1"/>
          <w:rtl w:val="0"/>
        </w:rPr>
        <w:t xml:space="preserve">Visi Indonesia Emas 2045</w:t>
      </w:r>
      <w:r w:rsidDel="00000000" w:rsidR="00000000" w:rsidRPr="00000000">
        <w:rPr>
          <w:rFonts w:ascii="Times New Roman" w:cs="Times New Roman" w:eastAsia="Times New Roman" w:hAnsi="Times New Roman"/>
          <w:rtl w:val="0"/>
        </w:rPr>
        <w:t xml:space="preserve"> masih minim. Dengan demikian, celah penelitian (literature gap) ini membuka ruang bagi studi akademik yang menelaah arah kebijakan fiskal Indonesia secara deskriptif-komparatif berdasarkan dokumen APBN 2024–2026 suatu pendekatan yang relatif baru dalam literatur fiskal nasional</w:t>
      </w:r>
    </w:p>
    <w:p w:rsidR="00000000" w:rsidDel="00000000" w:rsidP="00000000" w:rsidRDefault="00000000" w:rsidRPr="00000000" w14:paraId="0000005A">
      <w:pPr>
        <w:spacing w:after="120" w:before="12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METODE PENELITIAN</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20" w:line="276"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Pendekatan dan Desain Penelitian</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menggunakan pendekatan kualitatif-deskriptif dengan desain komparatif, yang bertujuan untuk mengidentifikasi dan menjelaskan pola perubahan arah kebijakan fiskal nasional Indonesia pada periode 2024–2026. Pendekatan ini dipilih karena memberikan ruang bagi analisis yang mendalam terhadap makna, konteks, dan orientasi kebijakan yang termuat dalam dokumen resmi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Anggaran Pendapatan dan Belanja Negara (APBN)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Metode deskriptif digunakan untuk menggambarkan struktur dan arah kebijakan fiskal setiap tahun anggaran, sedangkan pendekatan komparatif diterapkan untuk menilai konsistensi, pergeseran fokus, serta evolusi paradigma fiskal antar periode. Desain ini sejalan dengan model analisis kebijakan publik berbasis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policy content analysis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sebagaimana digunakan dalam studi kebijakan fiskal pasca-pandemi (</w:t>
      </w:r>
      <w:hyperlink r:id="rId5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5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Jenis dan Sumber Data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menggunakan data sekunder yang bersumber dari dokumen resmi pemerintah, khususnya tiga publikasi utama Kementerian Keuangan Republik Indonesia melalui Direktorat Jenderal Anggaran, yaitu: (1)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Tahun Anggaran 2024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(Kemenkeu, 2023), (2)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Tahun Anggaran 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(Kemenkeu, 2024), dan (3)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Siaran Pers RAPBN Tahun Anggaran 2026 – SP-19/KLI/2025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(Kemenkeu, 2025). Ketiga dokumen tersebut dipilih karena bersifat primer institusional, merepresentasikan posisi fiskal resmi negara secara komprehensif, dan memiliki validitas serta kredibilitas tinggi untuk analisis kebijakan publik. Selain itu, penelitian juga mengacu pada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Nota Keuangan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pernyataan resmi Menteri Keuangan untuk memperkuat triangulasi sumber data.</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Unit analisis penelitian mencakup empat komponen utama dalam struktur APBN, yakni: (1) Pendapatan negara, meliputi penerimaan perpajakan, PNBP, dan hibah; (2) Belanja negara, terdiri atas belanja pemerintah pusat dan transfer ke daerah; (3) Defisit dan pembiayaan anggaran; serta (4) Prioritas dan fokus tematik kebijakan fiskal, mencakup tema, arah kebijakan, dan program strategis nasional. Keempat dimensi ini dianalisis untuk mengungkap arah, rasionalitas, dan logika fiskal yang mendasari rancangan APBN setiap tahun, sekaligus menguji konsistensinya dengan sasaran pembangunan ekonomi nasional sebagaimana tertuang dalam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Visi Indonesia Emas 2045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6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Satria,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6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 ESCAP,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Prosedur Analisis Data</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dilakukan melalui tiga tahapan utama:</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Reduksi data, yaitu ekstraksi informasi kuantitatif dan kualitatif dari dokumen resmi, termasuk nilai agregat pendapatan, belanja, defisit, serta narasi kebijakan dan tema strategis setiap tahun;</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Kategorisasi tematik, yakni pengelompokan konten berdasarkan tiga fungsi fiskal yaitu alokatif, distributif, dan stabilisatif berdasarkan teori Musgrave (1959) serta model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fiscal framework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komparatif longitudinal, yaitu membandingkan perubahan struktur, arah kebijakan, dan intensi fiskal dari tahun ke tahun untuk mengidentifikasi pola evolusi kebijakan dan transformasi paradigma fiskal nasional.</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Pendekatan ini mengintegrasikan kerangka teoritis dari </w:t>
      </w:r>
      <w:hyperlink r:id="rId6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Hujo &amp; Fuentes-Nieva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mengenai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fair fiscal contracts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dan </w:t>
      </w:r>
      <w:hyperlink r:id="rId6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Grabel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tentang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expanding fiscal space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konteks ekonomi berkembang.</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Validitas dan Reliabilitas Data</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Keabsahan hasil analisis dijaga melalui triangulasi sumber dan konsep. Triangulasi sumber dilakukan dengan membandingkan isi antar-dokumen APBN,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Nota Keuangan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pernyataan resmi pemerintah dalam konferensi pers tahunan. Triangulasi konsep dilakukan dengan membandingkan hasil temuan empiris dengan teori-teori tentang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sustainable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inclusive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sovereignty-oriented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Untuk memastikan kredibilitas dan konsistensi analisis, penelitian ini menerapkan audit trail dokumen dan peer debriefing dengan akademisi di bidang ekonomi publik dan kebijakan fiskal, sebagaimana direkomendasikan oleh </w:t>
      </w:r>
      <w:hyperlink r:id="rId6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studi kualitatif fiskal ASEAN.</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Teknik Analisis dan Interpretasi</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data bersifat deskriptif-interpretatif, menekankan pada pemaknaan naratif atas arah dan tujuan kebijakan fiskal ketimbang pengujian kausal kuantitatif. Data kuantitatif APBN (dalam triliun rupiah) digunakan sebagai basis pembacaan tren struktural, namun fokus utama diarahkan pada pola ideologis dan tematik yang mencerminkan pergeseran orientasi kebijakan fiskal nasional. Dengan demikian, hasil penelitian tidak hanya menampilkan perubahan numerik dalam postur fiskal, tetapi juga menafsirkan rasionalitas kebijakan dan ideologi pembangunan fiskal berdaulat yang melatarbelakanginya (</w:t>
      </w:r>
      <w:hyperlink r:id="rId6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6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Hasudungan et al., 2023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D">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smallCaps w:val="1"/>
          <w:color w:val="000000"/>
        </w:rPr>
      </w:pPr>
      <w:r w:rsidDel="00000000" w:rsidR="00000000" w:rsidRPr="00000000">
        <w:rPr>
          <w:rFonts w:ascii="Times New Roman" w:cs="Times New Roman" w:eastAsia="Times New Roman" w:hAnsi="Times New Roman"/>
          <w:b w:val="1"/>
          <w:bCs w:val="1"/>
          <w:color w:val="000000"/>
          <w:rtl w:val="0"/>
        </w:rPr>
        <w:t xml:space="preserve">ANALISIS DAN PEMBAHASAN</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terhadap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2024–2025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menunjukkan adanya pola evolusi yang konsisten dalam arah kebijakan fiskal nasional. Pemerintah Indonesia secara bertahap menggeser orientasi kebijakan dari fungsi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dominan selama masa krisis COVID-19 menuju peran yang lebih developmental dan strategis (</w:t>
      </w:r>
      <w:hyperlink r:id="rId6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Tahun 2024 menandai fase konsolidasi fiskal dengan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“Mempercepat Transformasi Ekonomi yang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menitikberatkan pada pengendalian inflasi, penguatan perlindungan sosial, serta reformasi struktural di sektor energi dan pangan. Selanjutnya,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“Akselerasi Pertumbuhan Ekonomi yang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APBN 2025 mempertegas orientasi fiskal produktif yang berfokus pada transformasi ekonomi hijau, peningkatan investasi SDM, dan pemerataan pembangunan regional. Adapun RAPBN 2026, dengan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“Kedaulatan Pangan, Energi, dan Ekonomi,”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menjadi representasi dari sovereignty-oriented fiscal policy, yakni pergeseran menuju kemandirian fiskal yang berkelanjutan dan berbasis nilai strategis nasional (</w:t>
      </w:r>
      <w:hyperlink r:id="rId6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Hasudungan et al., 2023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6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Dorigné-Thomson, 2023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Konsistensi tema-tema APBN tersebut mencerminkan upaya pemerintah untuk menyeimbangkan antara stabilitas makroekonomi dan transformasi struktural, sekaligus menjawab tantangan global berupa fragmentasi perdagangan dan perubahan iklim (</w:t>
      </w:r>
      <w:hyperlink r:id="rId7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 ESCAP,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Pergeseran arah kebijakan fiskal Indonesia mencerminkan bentuk transformasi negara dalam tata kelola fiskal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state transformation in fiscal governance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yakni perubahan paradigma dari negara reaktif terhadap krisis menuju negara proaktif dalam membangun kapasitas produktif dan ketahanan ekonomi.</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historis, APBN 2024 menjadi titik balik dari rezim kebijakan fiskal darurat (2020–2023) ke fase pembangunan yang berimbang dan berkelanjutan (</w:t>
      </w:r>
      <w:hyperlink r:id="rId7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Pemerintah berhasil mengembalikan defisit anggaran di bawah 3 persen PDB, sejalan dengan penerapan prinsip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rule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prudent namun ekspansif secara selektif, sebagaimana direkomendasikan oleh OECD dan IMF dalam laporan kebijakan fiskal Asia Tenggara (2024). Kebijakan ini menandai terbentuknya fiscal credibility baru, di mana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prudence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fiskal tidak lagi bertentangan dengan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growth-oriented spending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melainkan menjadi dasar untuk inclusive recovery. Hal ini selaras dengan konsep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fiscal state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mana negara memainkan peran sentral dalam membangun daya saing ekonomi melalui pembiayaan publik yang terarah dan produktif (</w:t>
      </w:r>
      <w:hyperlink r:id="rId7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Hujo &amp; Fuentes-Nieva,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7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Grabel,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Dari sisi pendapatan negara, tren kenaikan yang konsisten selama periode 2024–2026 menunjukkan keberhasilan reformasi mobilisasi penerimaan negara pasca-implementasi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Undang-Undang Harmonisasi Peraturan Perpajakan (UU HPP)</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Total pendapatan meningkat dari Rp2.802,3 triliun pada 2024 menjadi Rp3.147,7 triliun pada 2026, dengan kontribusi penerimaan pajak yang semakin dominan. Kebijakan intensifikasi dan ekstensifikasi pajak digital memperluas basis wajib pajak tanpa mengorbankan iklim investasi, sejalan dengan strategi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broadening tax base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direkomendasikan oleh IMF (2024) dan Bank Dunia dalam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Indonesia Economic Prospects Report (2025)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perspektif teori fiskal Musgrave (1959), kebijakan ini mencerminkan optimalisasi fungsi stabilisatif dan alokatif fiskal, di mana pemerintah menyeimbangkan antara mobilisasi penerimaan dengan dukungan terhadap pertumbuhan jangka panjang. Lebih jauh, peningkatan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tax buoyancy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juga menjadi indikator keberhasilan fiskal inklusif (inclusive fiscal policy) yang mendukung redistribusi sosial dan penguatan daya beli masyarakat (</w:t>
      </w:r>
      <w:hyperlink r:id="rId7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Satria,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7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Peningkatan Penerimaan Negara Bukan Pajak (PNBP) dari Rp492 triliun (2024) menjadi Rp455 triliun pada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menunjukkan adanya reorientasi kebijakan menuju pemanfaatan sumber daya alam yang berkelanjutan dan efisiensi pengelolaan aset negara. Meskipun nominalnya mengalami sedikit penyesuaian, proporsi PNBP terhadap total pendapatan negara tetap menunjukkan tren stabil, menandakan pergeseran dari ketergantungan terhadap komoditas primer menuju model pengelolaan nilai tambah nasional (</w:t>
      </w:r>
      <w:hyperlink r:id="rId7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Hujo &amp; Fuentes-Nieva,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Kebijakan hilirisasi mineral dan pengembangan industri berbasis nikel, tembaga, serta energi baru terbarukan menjadi bagian dari strategi natural capital transformation, dimana sumber daya alam tidak lagi dieksploitasi sebagai komoditas mentah, melainkan diolah menjadi modal pembangunan berkelanjutan yang memperkuat struktur industri domestik (</w:t>
      </w:r>
      <w:hyperlink r:id="rId7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Satria,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Transformasi ini menandai pergeseran paradigma ekonomi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resource-based growth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knowledge-based and value-added economy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sejalan dengan arah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Visi Indonesia Emas 2045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agenda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green industrialization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ASEAN (</w:t>
      </w:r>
      <w:hyperlink r:id="rId7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 ESCAP,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7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Dari sisi belanja negara, arah kebijakan APBN 2024–2026 memperlihatkan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reallocation for productivity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yaitu pergeseran alokasi dari belanja konsumtif menuju belanja strategis yang berorientasi pada produktivitas jangka panjang. Total belanja negara meningkat dari Rp3.325,1 triliun pada 2024 menjadi Rp3.786,5 triliun dalam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namun struktur pengeluarannya semakin terarah pada sektor-sektor fundamental: pendidikan, kesehatan, perlindungan sosial, ketahanan pangan, dan energi. Pola ini merefleksikan konsep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productive fiscal stimulus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teori Keynesian modern, di mana pengeluaran publik difokuskan pada penciptaan kapasitas produksi, ketahanan sosial, dan efisiensi ekonomi struktural, bukan semata pada peningkatan konsumsi agregat (</w:t>
      </w:r>
      <w:hyperlink r:id="rId8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Kebijakan ini memperkuat fungsi distributif dan alokatif fiskal sebagaimana dijelaskan Musgrave (1959), karena belanja diarahkan untuk mengurangi ketimpangan sosial sekaligus memperluas basis pertumbuhan produktif nasional. Temuan ini konsisten dengan hasil analisis OECD (2024) dan World Bank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Public Expenditure Review Indonesia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2025) yang menilai reorientasi belanja Indonesia sebagai bentuk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innovation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ekonomi berdaya saing tinggi dan inklusif (</w:t>
      </w:r>
      <w:hyperlink r:id="rId8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Grabel,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Peningkatan alokasi belanja pendidikan dan kesehatan dalam periode 2024–2026 memperkuat transformasi APBN menjadi anggaran investasi sosial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social investment budget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Anggaran pendidikan naik dari Rp665 triliun (2024) menjadi Rp757,8 triliun (RAPBN 2026), sedangkan kesehatan meningkat dari Rp187,5 triliun menjadi Rp244 triliun. Tren ini menunjukkan bahwa pemerintah memandang pendidikan dan kesehatan bukan sekadar fungsi pelayanan publik, tetapi investasi strategis dalam pembangunan manusia (</w:t>
      </w:r>
      <w:hyperlink r:id="rId8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Darmawan et al.,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Kebijakan pendidikan diarahkan untuk meningkatkan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learning outcomes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kesiapan digital, dan literasi finansial sebagai bagian dari strategi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human capital competitiveness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menghadapi transformasi teknologi global (</w:t>
      </w:r>
      <w:hyperlink r:id="rId8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Hasudungan et al., 2023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Sementara itu, peningkatan belanja kesehatan mencerminkan komitmen terhadap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health system resilience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fokus pada transformasi layanan primer, penguatan sistem pembiayaan JKN, dan percepatan penurunan stunting hingga target 14 persen pada 2024, sejalan dengan agenda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Indonesia Health Transformation Blueprint 2024–2026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Kementerian Kesehatan (Kemenkes, 2024; UN ESCAP, 2025). Dengan demikian, belanja sosial dalam APBN berfungsi ganda: sebagai instrumen fiskal stabilisasi jangka pendek dan strategi pembangunan manusia jangka panjang, yang memperkokoh fondasi ekonomi berkelanjutan dan berdaya saing global.</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Kebijakan perlindungan sosial Indonesia menunjukkan evolusi signifikan dari sekadar program kompensasi menuju model berbasis pemberdayaan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empowerment-based social protection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Anggaran perlindungan sosial yang mencapai Rp508,2 triliun dalam RAPBN 2026 tidak hanya memperluas jangkauan bantuan tunai dan subsidi, tetapi juga mengintegrasikan dimensi pemberdayaan ekonomi, seperti akses permodalan produktif, pelatihan kewirausahaan, dan integrasi dengan ekosistem UMKM digital. Pendekatan ini mencerminkan implementasi teori inclusive growth, di mana perlindungan sosial diposisikan sebagai katalis pembangunan ekonomi partisipatif, bukan sekadar instrumen redistribusi pendapatan (</w:t>
      </w:r>
      <w:hyperlink r:id="rId8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8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Hujo &amp; Fuentes-Nieva,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Secara konseptual, fungsi distributif fiskal di sini bergeser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redistributive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productive distributive function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karena belanja sosial diarahkan untuk meningkatkan kapasitas dan resiliensi ekonomi kelompok miskin dan rentan. Reformulasi ini selaras dengan temuan </w:t>
      </w:r>
      <w:hyperlink r:id="rId8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 ESCAP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menilai kebijakan sosial berbasis pemberdayaan sebagai ciri utama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transformative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kawasan Asia-Pasifik. Lebih lanjut, integrasi program sosial seperti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Kartu Prakerja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Program Keluarga Harapan (PKH)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Mekaar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menjadi bukti sinergi lintas sektor dalam mewujudkan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social protection as investment,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sebagaimana dikemukakan dalam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World Bank Social Protection Review (2024)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demikian, APBN tidak hanya berfungsi sebagai alat fiskal stabilisasi, tetapi juga mekanisme pembangunan kapasitas manusia yang inklusif dan berkelanjutan.</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Dari perspektif pembiayaan dan defisit anggaran, pemerintah menerapkan prinsip sustainable fiscal expansion, yaitu memperluas kapasitas pembiayaan pembangunan tanpa menimbulkan risiko fiskal jangka panjang. Defisit dijaga konsisten di bawah 3 persen terhadap PDB (2,29–2,48 persen), sejalan dengan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consolidation framework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diterapkan di banyak negara pasca-pandemi. Fokus pembiayaan diarahkan pada skema kreatif dan kolaboratif, seperti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Kerjasama Pemerintah dan Badan Usaha (KPBU)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pemanfaatan Saldo Anggaran Lebih (SAL), serta optimalisasi peran Special Mission Vehicle (SMV) dan Badan Layanan Umum (BLU) dalam sektor-sektor strategis seperti energi, transportasi, dan infrastruktur digital. Kebijakan ini menggambarkan penerapan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blended financing model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banyak diadopsi oleh negara maju untuk meningkatkan efisiensi fiskal dan memperluas ruang pembiayaan pembangunan (</w:t>
      </w:r>
      <w:hyperlink r:id="rId8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Grabel,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Secara teoretis, strategi ini memperkuat prinsip fiscal sovereignty, karena negara mampu membiayai agenda pembangunan prioritas tanpa ketergantungan berlebihan pada pinjaman luar negeri. Model ini konsisten dengan pendekatan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endogenous fiscal autonomy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diperkenalkan oleh </w:t>
      </w:r>
      <w:hyperlink r:id="rId8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mana kemandirian fiskal menjadi basis legitimasi negara dalam menentukan arah pembangunan nasional. Pendekatan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multi-instrumental financing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ini juga dinilai oleh [OECD (2024)] sebagai praktik baik dalam mewujudkan fiscal innovation di negara berkembang, terutama dalam konteks integrasi tujuan fiskal dengan agenda pembangunan berkelanjutan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SDGs financing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tematik terhadap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2024–2026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menunjukkan adanya pergeseran narasi kebijakan fiskal (policy narrative) yang konsisten dan ideologis.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“Transformasi Ekonomi Inklusif”</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(2024) mencerminkan pendekatan reaktif terhadap ketidakpastian global dan dampak pasca-pandemi, menekankan stabilitas makro dan perlindungan sosial.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“Akselerasi Pertumbuhan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(2025) berkarakter reformis dan pro-investasi, menandai fase transisi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growth-oriented fiscal regime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Sementara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“Kedaulatan Pangan, Energi, dan Ekonomi”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(RAPBN 2026) menandai evolusi ideologis dan strategis, menempatkan kebijakan fiskal sebagai alat politik-ekonomi untuk memperkuat kemandirian nasional dan posisi Indonesia dalam arsitektur ekonomi global (</w:t>
      </w:r>
      <w:hyperlink r:id="rId8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Dorigné-Thomson, 2023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9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Pergeseran narasi ini menggambarkan perubahan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stabilization discourse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sovereignty discourse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kebijakan fiskal Indonesia. Dengan kata lain, APBN bukan lagi sekadar instrumen teknokratis, tetapi telah menjadi artikulator politik fiskal berdaulat menggabungkan dimensi ekonomi, ideologi, dan diplomasi fiskal nasional. Menurut </w:t>
      </w:r>
      <w:hyperlink r:id="rId9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Satria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fase ini menjadi penanda lahirnya fiscal statecraft di Indonesia: yaitu penggunaan kebijakan fiskal sebagai instrumen kekuasaan negara untuk mengatur dan mengarahkan ekonomi dalam kerangka pembangunan berdaulat.</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Dalam kerangka teori klasik Musgrave (1959), hasil analisis ini menggambarkan pergeseran dominasi fungsi fiskal yang dinamis sepanjang periode 2024–2026. Tahun 2024 didominasi oleh fungsi stabilisatif, di mana kebijakan fiskal diarahkan untuk menahan tekanan inflasi dan menjaga daya beli masyarakat melalui instrumen kompensasi dan pengendalian harga. Tahun 2025 menonjolkan fungsi alokatif, dengan fokus pada efisiensi dan produktivitas belanja publik di sektor strategis seperti pendidikan, kesehatan, dan infrastruktur digital. Sementara itu,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menandai penguatan fungsi distributif melalui ekspansi program perlindungan sosial dan kebijakan pembangunan berdaulat berbasis kemandirian energi-pangan. Pergeseran bertahap ini menunjukkan kematangan siklus kebijakan fiskal Indonesia, yang adaptif terhadap tantangan jangka pendek namun tetap berorientasi pada transformasi struktural jangka panjang. Pola ini sejalan dengan kerangka teori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new developmentalism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menekankan peran aktif negara sebagai arsitek pembangunan, bukan sekadar regulator pasif. Seperti dijelaskan oleh </w:t>
      </w:r>
      <w:hyperlink r:id="rId9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Grabel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hyperlink r:id="rId9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model fiskal seperti ini memperkuat kedaulatan ekonomi melalui kebijakan yang menjaga stabilitas makro sekaligus menumbuhkan kapasitas produktif domestik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structural competitiveness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demikian, fungsi-fungsi fiskal Musgrave kini saling terintegrasi secara progresif, menandai pergeseran Indonesia menuju fase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adaptive fiscal governance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empiris, temuan ini memperlihatkan bahwa keberlanjutan fiskal Indonesia tetap terjaga di tengah tekanan global dan transisi politik domestik menjelang 2026. Pemerintah berhasil menjaga defisit anggaran di bawah 3 persen PDB (2,29–2,48 persen), menahan rasio utang pada level aman (sekitar 39 persen PDB), serta memperkuat struktur belanja produktif dan efisiensi subsidi. Keberhasilan ini mencerminkan tingkat fiscal discipline yang tinggi tanpa mengorbankan agenda pembangunan sosial dan investasi publik produktif. Dalam perspektif global, hal ini menandai transisi Indonesia menuju fase fiscal maturity, sebagaimana dikonsepkan oleh </w:t>
      </w:r>
      <w:hyperlink r:id="rId9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Hujo &amp; Fuentes-Nieva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tahap di mana kebijakan fiskal berfungsi bukan hanya sebagai penopang stabilitas, tetapi juga sebagai alat strategis untuk memperkuat daya saing nasional dan mengurangi ketergantungan eksternal. Studi </w:t>
      </w:r>
      <w:hyperlink r:id="rId9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 ESCAP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juga mencatat bahwa kredibilitas fiskal Indonesia yang terjaga selama periode pasca-pandemi memperkuat posisi negara dalam iklim investasi Asia Tenggara. Kestabilan fiskal yang inklusif ini meningkatkan kepercayaan investor dan memperkuat sovereign credit rating Indonesia, sebagaimana dilaporkan oleh Fitch dan Moody’s pada 2025. Dengan demikian, konsistensi kebijakan fiskal selama periode transisi politik menegaskan kemampuan pemerintah untuk menyeimbangkan stabilitas makroekonomi dan keberlanjutan sosial-ekonomi, sebuah karakteristik penting dari negara dengan tata kelola fiskal matang dan kredibel (fiscal governance maturity).</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keseluruhan, hasil analisis menegaskan bahwa periode 2024–2026 merupakan fase strategis konsolidasi dan kedaulatan fiskal Indonesia.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tidak lagi sekadar berfungsi sebagai alat stabilisasi, tetapi telah berevolusi menjadi instrumen pembangunan multidimensi yang mengintegrasikan efisiensi fiskal, keberlanjutan sosial, dan nasionalisme ekonomi. Dengan menempatkan pembangunan manusia serta kemandirian energi dan pangan sebagai pilar utama, arah kebijakan fiskal Indonesia bergerak menuju model pembangunan berdaulat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sovereignty-oriented fiscal model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menyeimbangkan antara otonomi fiskal dan tanggung jawab sosial.</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Model ini mencerminkan paradigma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state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diperbarui  dimana negara menggunakan kebijakan fiskal sebagai alat politik ekonomi strategis untuk memperkuat kapasitas domestik dan memperluas ruang fiskal jangka panjang (</w:t>
      </w:r>
      <w:hyperlink r:id="rId9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Satria,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Pendekatan ini juga relevan bagi negara berkembang lain, khususnya di kawasan Asia dan Afrika, yang berupaya menavigasi antara stabilitas fiskal, keadilan sosial, dan kemandirian ekonomi di tengah realitas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post-globalization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hyperlink r:id="rId9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demikian, studi ini menempatkan Indonesia sebagai kasus rujukan bagi praktik fiscal statecraft di negara berkembang, di mana kebijakan fiskal berfungsi ganda: sebagai instrumen ekonomi nasional dan instrumen kedaulatan negara. Dalam konteks inilah, konsolidasi fiskal 2024–2026 dapat dipandang bukan sekadar sebagai kebijakan keuangan negara, melainkan sebagai manifestasi ideologi pembangunan berdaulat dalam tata kelola fiskal global.</w:t>
      </w:r>
    </w:p>
    <w:p w:rsidR="00000000" w:rsidDel="00000000" w:rsidP="00000000" w:rsidRDefault="00000000" w:rsidRPr="00000000" w14:paraId="0000007D">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tabs>
          <w:tab w:val="left" w:leader="none" w:pos="360"/>
        </w:tabs>
        <w:spacing w:after="120" w:before="120" w:line="276"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120" w:before="120" w:line="276" w:lineRule="auto"/>
        <w:ind w:left="289" w:hanging="289"/>
        <w:rPr>
          <w:rFonts w:ascii="Times New Roman" w:cs="Times New Roman" w:eastAsia="Times New Roman" w:hAnsi="Times New Roman"/>
          <w:b w:val="1"/>
          <w:bCs w:val="1"/>
          <w:smallCaps w:val="1"/>
          <w:color w:val="000000"/>
        </w:rPr>
      </w:pPr>
      <w:r w:rsidDel="00000000" w:rsidR="00000000" w:rsidRPr="00000000">
        <w:rPr>
          <w:rFonts w:ascii="Times New Roman" w:cs="Times New Roman" w:eastAsia="Times New Roman" w:hAnsi="Times New Roman"/>
          <w:b w:val="1"/>
          <w:bCs w:val="1"/>
          <w:smallCaps w:val="1"/>
          <w:color w:val="000000"/>
          <w:rtl w:val="0"/>
        </w:rPr>
        <w:t xml:space="preserve">SIMPULAN, KETERBATASAN DAN SARAN</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menyimpulkan bahwa kebijakan fiskal Indonesia periode 2024–2026 mengalami transformasi struktural yang signifikan, beralih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recovery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kerangka kebijakan fiskal berorientasi pembangunan dan kedaulatan nasional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and sovereignty-oriented fiscal framework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Pergeseran ini menandai evolusi fungsi fiskal nasional dari stabilisatif pada 2024 menuju alokatif dan distributif pada 2025–2026, sebagaimana dijelaskan dalam model tiga fungsi fiskal Musgrave (1959). Transformasi tersebut tercermin melalui disiplin defisit di bawah 3 persen PDB, reformasi dan digitalisasi perpajakan, serta pergeseran belanja publik ke sektor produktif seperti pendidikan, kesehatan, energi hijau, dan ketahanan pangan. Pola ini menunjukkan kematangan tata kelola fiskal adaptif yang menyeimbangkan stabilitas makroekonomi, pembangunan berkelanjutan, dan kemandirian nasional. Secara teoretis, hasil ini memperkuat relevansi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konteks negara berkembang yang berupaya membangun kedaulatan ekonomi melalui instrumen fiskal yang kredibel dan inklusif.</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memiliki beberapa keterbatasan. Pertama, analisis hanya berfokus pada dokumen kebijakan fiskal makro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sehingga belum mengkaji secara empiris implementasi kebijakan di tingkat sektoral dan regional. Kedua, pendekatan kualitatif-deskriptif komparatif yang digunakan belum memungkinkan pengukuran kuantitatif terhadap dampak kebijakan fiskal terhadap indikator pembangunan seperti ketimpangan pendapatan, produktivitas, atau pertumbuhan hijau. Ketiga, periode pengamatan 2024–2026 bersifat terbatas dan belum mencakup dinamika jangka menengah yang mungkin muncul akibat perubahan geopolitik dan ekonomi global.</w:t>
      </w:r>
    </w:p>
    <w:p w:rsidR="00000000" w:rsidDel="00000000" w:rsidP="00000000" w:rsidRDefault="00000000" w:rsidRPr="00000000" w14:paraId="00000082">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Studi selanjutnya disarankan mengombinasikan analisis kualitatif dan kuantitatif melalui </w:t>
      </w:r>
      <w:r w:rsidDel="00000000" w:rsidR="00000000" w:rsidRPr="00000000">
        <w:rPr>
          <w:rFonts w:ascii="Times New Roman" w:cs="Times New Roman" w:eastAsia="Times New Roman" w:hAnsi="Times New Roman"/>
          <w:i w:val="1"/>
          <w:iCs w:val="1"/>
          <w:color w:val="000000"/>
          <w:rtl w:val="0"/>
        </w:rPr>
        <w:t xml:space="preserve">fiscal impact modeling</w:t>
      </w:r>
      <w:r w:rsidDel="00000000" w:rsidR="00000000" w:rsidRPr="00000000">
        <w:rPr>
          <w:rFonts w:ascii="Times New Roman" w:cs="Times New Roman" w:eastAsia="Times New Roman" w:hAnsi="Times New Roman"/>
          <w:color w:val="000000"/>
          <w:rtl w:val="0"/>
        </w:rPr>
        <w:t xml:space="preserve"> atau </w:t>
      </w:r>
      <w:r w:rsidDel="00000000" w:rsidR="00000000" w:rsidRPr="00000000">
        <w:rPr>
          <w:rFonts w:ascii="Times New Roman" w:cs="Times New Roman" w:eastAsia="Times New Roman" w:hAnsi="Times New Roman"/>
          <w:i w:val="1"/>
          <w:iCs w:val="1"/>
          <w:color w:val="000000"/>
          <w:rtl w:val="0"/>
        </w:rPr>
        <w:t xml:space="preserve">computable general equilibrium (CGE)</w:t>
      </w:r>
      <w:r w:rsidDel="00000000" w:rsidR="00000000" w:rsidRPr="00000000">
        <w:rPr>
          <w:rFonts w:ascii="Times New Roman" w:cs="Times New Roman" w:eastAsia="Times New Roman" w:hAnsi="Times New Roman"/>
          <w:color w:val="000000"/>
          <w:rtl w:val="0"/>
        </w:rPr>
        <w:t xml:space="preserve"> guna mengukur efek kebijakan secara lebih komprehensif. Pemerintah perlu melanjutkan reformasi perpajakan digital, memperkuat kepatuhan wajib pajak, serta memperluas basis penerimaan negara bukan pajak berbasis sumber daya berkelanjutan. Selain itu, efisiensi transfer ke daerah perlu ditingkatkan melalui </w:t>
      </w:r>
      <w:r w:rsidDel="00000000" w:rsidR="00000000" w:rsidRPr="00000000">
        <w:rPr>
          <w:rFonts w:ascii="Times New Roman" w:cs="Times New Roman" w:eastAsia="Times New Roman" w:hAnsi="Times New Roman"/>
          <w:i w:val="1"/>
          <w:iCs w:val="1"/>
          <w:color w:val="000000"/>
          <w:rtl w:val="0"/>
        </w:rPr>
        <w:t xml:space="preserve">performance-based transfer</w:t>
      </w:r>
      <w:r w:rsidDel="00000000" w:rsidR="00000000" w:rsidRPr="00000000">
        <w:rPr>
          <w:rFonts w:ascii="Times New Roman" w:cs="Times New Roman" w:eastAsia="Times New Roman" w:hAnsi="Times New Roman"/>
          <w:color w:val="000000"/>
          <w:rtl w:val="0"/>
        </w:rPr>
        <w:t xml:space="preserve"> agar manfaat fiskal lebih merata. Penerapan </w:t>
      </w:r>
      <w:r w:rsidDel="00000000" w:rsidR="00000000" w:rsidRPr="00000000">
        <w:rPr>
          <w:rFonts w:ascii="Times New Roman" w:cs="Times New Roman" w:eastAsia="Times New Roman" w:hAnsi="Times New Roman"/>
          <w:i w:val="1"/>
          <w:iCs w:val="1"/>
          <w:color w:val="000000"/>
          <w:rtl w:val="0"/>
        </w:rPr>
        <w:t xml:space="preserve">result-based budgeting</w:t>
      </w:r>
      <w:r w:rsidDel="00000000" w:rsidR="00000000" w:rsidRPr="00000000">
        <w:rPr>
          <w:rFonts w:ascii="Times New Roman" w:cs="Times New Roman" w:eastAsia="Times New Roman" w:hAnsi="Times New Roman"/>
          <w:color w:val="000000"/>
          <w:rtl w:val="0"/>
        </w:rPr>
        <w:t xml:space="preserve"> dan integrasi kebijakan fiskal hijau serta inklusi sosial penting untuk menjaga kesinambungan fiskal jangka panjang. Ke depan, inovasi pembiayaan seperti </w:t>
      </w:r>
      <w:r w:rsidDel="00000000" w:rsidR="00000000" w:rsidRPr="00000000">
        <w:rPr>
          <w:rFonts w:ascii="Times New Roman" w:cs="Times New Roman" w:eastAsia="Times New Roman" w:hAnsi="Times New Roman"/>
          <w:i w:val="1"/>
          <w:iCs w:val="1"/>
          <w:color w:val="000000"/>
          <w:rtl w:val="0"/>
        </w:rPr>
        <w:t xml:space="preserve">blended finance</w:t>
      </w:r>
      <w:r w:rsidDel="00000000" w:rsidR="00000000" w:rsidRPr="00000000">
        <w:rPr>
          <w:rFonts w:ascii="Times New Roman" w:cs="Times New Roman" w:eastAsia="Times New Roman" w:hAnsi="Times New Roman"/>
          <w:color w:val="000000"/>
          <w:rtl w:val="0"/>
        </w:rPr>
        <w:t xml:space="preserve"> dan </w:t>
      </w:r>
      <w:r w:rsidDel="00000000" w:rsidR="00000000" w:rsidRPr="00000000">
        <w:rPr>
          <w:rFonts w:ascii="Times New Roman" w:cs="Times New Roman" w:eastAsia="Times New Roman" w:hAnsi="Times New Roman"/>
          <w:i w:val="1"/>
          <w:iCs w:val="1"/>
          <w:color w:val="000000"/>
          <w:rtl w:val="0"/>
        </w:rPr>
        <w:t xml:space="preserve">green bonds</w:t>
      </w:r>
      <w:r w:rsidDel="00000000" w:rsidR="00000000" w:rsidRPr="00000000">
        <w:rPr>
          <w:rFonts w:ascii="Times New Roman" w:cs="Times New Roman" w:eastAsia="Times New Roman" w:hAnsi="Times New Roman"/>
          <w:color w:val="000000"/>
          <w:rtl w:val="0"/>
        </w:rPr>
        <w:t xml:space="preserve"> perlu diperluas untuk memperkuat ekosistem pembiayaan pembangunan nasional. Dengan demikian, kebijakan fiskal Indonesia dapat berfungsi sebagai instrumen tata kelola adaptif (</w:t>
      </w:r>
      <w:r w:rsidDel="00000000" w:rsidR="00000000" w:rsidRPr="00000000">
        <w:rPr>
          <w:rFonts w:ascii="Times New Roman" w:cs="Times New Roman" w:eastAsia="Times New Roman" w:hAnsi="Times New Roman"/>
          <w:i w:val="1"/>
          <w:iCs w:val="1"/>
          <w:color w:val="000000"/>
          <w:rtl w:val="0"/>
        </w:rPr>
        <w:t xml:space="preserve">adaptive fiscal governance</w:t>
      </w:r>
      <w:r w:rsidDel="00000000" w:rsidR="00000000" w:rsidRPr="00000000">
        <w:rPr>
          <w:rFonts w:ascii="Times New Roman" w:cs="Times New Roman" w:eastAsia="Times New Roman" w:hAnsi="Times New Roman"/>
          <w:color w:val="000000"/>
          <w:rtl w:val="0"/>
        </w:rPr>
        <w:t xml:space="preserve">) yang mendukung pembangunan berdaulat, berkelanjutan, dan inklusif menuju Visi Indonesia Emas 2045.</w:t>
      </w:r>
      <w:r w:rsidDel="00000000" w:rsidR="00000000" w:rsidRPr="00000000">
        <w:rPr>
          <w:rtl w:val="0"/>
        </w:rPr>
      </w:r>
    </w:p>
    <w:p w:rsidR="00000000" w:rsidDel="00000000" w:rsidP="00000000" w:rsidRDefault="00000000" w:rsidRPr="00000000" w14:paraId="00000083">
      <w:pPr>
        <w:spacing w:after="120" w:before="12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spacing w:after="120" w:before="120" w:line="276"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DAFTAR PUSTAKA</w:t>
      </w:r>
    </w:p>
    <w:p w:rsidR="00000000" w:rsidDel="00000000" w:rsidP="00000000" w:rsidRDefault="00000000" w:rsidRPr="00000000" w14:paraId="00000085">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Afkar, R., Luque, J., Nomura, S., &amp; Marshall, J. (2020). Revealing how Indonesia’s subnational governments spend their money on education: Indonesia subnational education public expenditure review 2020.</w:t>
      </w:r>
      <w:r w:rsidDel="00000000" w:rsidR="00000000" w:rsidRPr="00000000">
        <w:rPr>
          <w:rtl w:val="0"/>
        </w:rPr>
      </w:r>
    </w:p>
    <w:p w:rsidR="00000000" w:rsidDel="00000000" w:rsidP="00000000" w:rsidRDefault="00000000" w:rsidRPr="00000000" w14:paraId="00000086">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Anugrah, D. F., Harun, C. A., Rahmawati, D., Ardiyono, S. K., &amp; Imron, H. J. (2024). </w:t>
      </w:r>
      <w:r w:rsidDel="00000000" w:rsidR="00000000" w:rsidRPr="00000000">
        <w:rPr>
          <w:rFonts w:ascii="Times New Roman" w:cs="Times New Roman" w:eastAsia="Times New Roman" w:hAnsi="Times New Roman"/>
          <w:i w:val="1"/>
          <w:iCs w:val="1"/>
          <w:color w:val="222222"/>
          <w:highlight w:val="white"/>
          <w:rtl w:val="0"/>
        </w:rPr>
        <w:t xml:space="preserve">Measuring export diversification strategies amid global geo-economic fragmentation</w:t>
      </w:r>
      <w:r w:rsidDel="00000000" w:rsidR="00000000" w:rsidRPr="00000000">
        <w:rPr>
          <w:rFonts w:ascii="Times New Roman" w:cs="Times New Roman" w:eastAsia="Times New Roman" w:hAnsi="Times New Roman"/>
          <w:color w:val="222222"/>
          <w:highlight w:val="white"/>
          <w:rtl w:val="0"/>
        </w:rPr>
        <w:t xml:space="preserve"> (No. WP/06/2024).</w:t>
      </w:r>
      <w:r w:rsidDel="00000000" w:rsidR="00000000" w:rsidRPr="00000000">
        <w:rPr>
          <w:rtl w:val="0"/>
        </w:rPr>
      </w:r>
    </w:p>
    <w:p w:rsidR="00000000" w:rsidDel="00000000" w:rsidP="00000000" w:rsidRDefault="00000000" w:rsidRPr="00000000" w14:paraId="00000087">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Aun, L. H. (2022). 2022/51 “Malaysia’s Bumiputera Development Action 2030: Maintaining Focus, Moderating Ambition” by Lee Hwok Aun.</w:t>
      </w:r>
      <w:r w:rsidDel="00000000" w:rsidR="00000000" w:rsidRPr="00000000">
        <w:rPr>
          <w:rtl w:val="0"/>
        </w:rPr>
      </w:r>
    </w:p>
    <w:p w:rsidR="00000000" w:rsidDel="00000000" w:rsidP="00000000" w:rsidRDefault="00000000" w:rsidRPr="00000000" w14:paraId="00000088">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Darmawan, I. G. N., Suryadi, A., Budimansyah, D., &amp; Susilo, S. (2024). </w:t>
      </w:r>
      <w:r w:rsidDel="00000000" w:rsidR="00000000" w:rsidRPr="00000000">
        <w:rPr>
          <w:rFonts w:ascii="Times New Roman" w:cs="Times New Roman" w:eastAsia="Times New Roman" w:hAnsi="Times New Roman"/>
          <w:i w:val="1"/>
          <w:iCs w:val="1"/>
          <w:color w:val="222222"/>
          <w:highlight w:val="white"/>
          <w:rtl w:val="0"/>
        </w:rPr>
        <w:t xml:space="preserve">Indonesian Education: Past, Present, and Future</w:t>
      </w:r>
      <w:r w:rsidDel="00000000" w:rsidR="00000000" w:rsidRPr="00000000">
        <w:rPr>
          <w:rFonts w:ascii="Times New Roman" w:cs="Times New Roman" w:eastAsia="Times New Roman" w:hAnsi="Times New Roman"/>
          <w:color w:val="222222"/>
          <w:highlight w:val="white"/>
          <w:rtl w:val="0"/>
        </w:rPr>
        <w:t xml:space="preserve">. Taylor &amp; Francis.</w:t>
      </w:r>
      <w:r w:rsidDel="00000000" w:rsidR="00000000" w:rsidRPr="00000000">
        <w:rPr>
          <w:rtl w:val="0"/>
        </w:rPr>
      </w:r>
    </w:p>
    <w:p w:rsidR="00000000" w:rsidDel="00000000" w:rsidP="00000000" w:rsidRDefault="00000000" w:rsidRPr="00000000" w14:paraId="00000089">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Dorigné-Thomson, C. (2023). Indonesian Foreign Policy’s Contemporary Evolution. In </w:t>
      </w:r>
      <w:r w:rsidDel="00000000" w:rsidR="00000000" w:rsidRPr="00000000">
        <w:rPr>
          <w:rFonts w:ascii="Times New Roman" w:cs="Times New Roman" w:eastAsia="Times New Roman" w:hAnsi="Times New Roman"/>
          <w:i w:val="1"/>
          <w:iCs w:val="1"/>
          <w:color w:val="222222"/>
          <w:highlight w:val="white"/>
          <w:rtl w:val="0"/>
        </w:rPr>
        <w:t xml:space="preserve">Indonesia’s Engagement with Africa</w:t>
      </w:r>
      <w:r w:rsidDel="00000000" w:rsidR="00000000" w:rsidRPr="00000000">
        <w:rPr>
          <w:rFonts w:ascii="Times New Roman" w:cs="Times New Roman" w:eastAsia="Times New Roman" w:hAnsi="Times New Roman"/>
          <w:color w:val="222222"/>
          <w:highlight w:val="white"/>
          <w:rtl w:val="0"/>
        </w:rPr>
        <w:t xml:space="preserve">(pp. 67-127). Singapore: Springer Nature Singapore.</w:t>
      </w:r>
      <w:r w:rsidDel="00000000" w:rsidR="00000000" w:rsidRPr="00000000">
        <w:rPr>
          <w:rtl w:val="0"/>
        </w:rPr>
      </w:r>
    </w:p>
    <w:p w:rsidR="00000000" w:rsidDel="00000000" w:rsidP="00000000" w:rsidRDefault="00000000" w:rsidRPr="00000000" w14:paraId="0000008A">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Ekasari, S., &amp; Othman, M. K. B. H. (2025). Global Economic Policy In An Era Of Uncertainty. </w:t>
      </w:r>
      <w:r w:rsidDel="00000000" w:rsidR="00000000" w:rsidRPr="00000000">
        <w:rPr>
          <w:rFonts w:ascii="Times New Roman" w:cs="Times New Roman" w:eastAsia="Times New Roman" w:hAnsi="Times New Roman"/>
          <w:i w:val="1"/>
          <w:iCs w:val="1"/>
          <w:color w:val="222222"/>
          <w:highlight w:val="white"/>
          <w:rtl w:val="0"/>
        </w:rPr>
        <w:t xml:space="preserve">International Journal Of Economic Literature</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3</w:t>
      </w:r>
      <w:r w:rsidDel="00000000" w:rsidR="00000000" w:rsidRPr="00000000">
        <w:rPr>
          <w:rFonts w:ascii="Times New Roman" w:cs="Times New Roman" w:eastAsia="Times New Roman" w:hAnsi="Times New Roman"/>
          <w:color w:val="222222"/>
          <w:highlight w:val="white"/>
          <w:rtl w:val="0"/>
        </w:rPr>
        <w:t xml:space="preserve">(5), 388-395.</w:t>
      </w:r>
      <w:r w:rsidDel="00000000" w:rsidR="00000000" w:rsidRPr="00000000">
        <w:rPr>
          <w:rtl w:val="0"/>
        </w:rPr>
      </w:r>
    </w:p>
    <w:p w:rsidR="00000000" w:rsidDel="00000000" w:rsidP="00000000" w:rsidRDefault="00000000" w:rsidRPr="00000000" w14:paraId="0000008B">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Ela, N. (2025). Green Economy and State Budget Reform: 2026 State Budget Towards Carbon Neutrality and Social Welfare. </w:t>
      </w:r>
      <w:r w:rsidDel="00000000" w:rsidR="00000000" w:rsidRPr="00000000">
        <w:rPr>
          <w:rFonts w:ascii="Times New Roman" w:cs="Times New Roman" w:eastAsia="Times New Roman" w:hAnsi="Times New Roman"/>
          <w:i w:val="1"/>
          <w:iCs w:val="1"/>
          <w:color w:val="222222"/>
          <w:highlight w:val="white"/>
          <w:rtl w:val="0"/>
        </w:rPr>
        <w:t xml:space="preserve">International Journal of Social Research</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3</w:t>
      </w:r>
      <w:r w:rsidDel="00000000" w:rsidR="00000000" w:rsidRPr="00000000">
        <w:rPr>
          <w:rFonts w:ascii="Times New Roman" w:cs="Times New Roman" w:eastAsia="Times New Roman" w:hAnsi="Times New Roman"/>
          <w:color w:val="222222"/>
          <w:highlight w:val="white"/>
          <w:rtl w:val="0"/>
        </w:rPr>
        <w:t xml:space="preserve">(1), 23-33</w:t>
      </w:r>
      <w:r w:rsidDel="00000000" w:rsidR="00000000" w:rsidRPr="00000000">
        <w:rPr>
          <w:rtl w:val="0"/>
        </w:rPr>
      </w:r>
    </w:p>
    <w:p w:rsidR="00000000" w:rsidDel="00000000" w:rsidP="00000000" w:rsidRDefault="00000000" w:rsidRPr="00000000" w14:paraId="0000008C">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ESCAP, U. (2025). </w:t>
      </w:r>
      <w:r w:rsidDel="00000000" w:rsidR="00000000" w:rsidRPr="00000000">
        <w:rPr>
          <w:rFonts w:ascii="Times New Roman" w:cs="Times New Roman" w:eastAsia="Times New Roman" w:hAnsi="Times New Roman"/>
          <w:i w:val="1"/>
          <w:iCs w:val="1"/>
          <w:color w:val="222222"/>
          <w:highlight w:val="white"/>
          <w:rtl w:val="0"/>
        </w:rPr>
        <w:t xml:space="preserve">Economic and Social Survey of Asia and the Pacific 2025: Understanding the macroeconomic implications of climate change</w:t>
      </w:r>
      <w:r w:rsidDel="00000000" w:rsidR="00000000" w:rsidRPr="00000000">
        <w:rPr>
          <w:rFonts w:ascii="Times New Roman" w:cs="Times New Roman" w:eastAsia="Times New Roman" w:hAnsi="Times New Roman"/>
          <w:color w:val="222222"/>
          <w:highlight w:val="white"/>
          <w:rtl w:val="0"/>
        </w:rPr>
        <w:t xml:space="preserve">. UN. ESCAP.</w:t>
      </w:r>
      <w:r w:rsidDel="00000000" w:rsidR="00000000" w:rsidRPr="00000000">
        <w:rPr>
          <w:rtl w:val="0"/>
        </w:rPr>
      </w:r>
    </w:p>
    <w:p w:rsidR="00000000" w:rsidDel="00000000" w:rsidP="00000000" w:rsidRDefault="00000000" w:rsidRPr="00000000" w14:paraId="0000008D">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Gamal, A., Wijayanti, N. A., Utami, S. P. B., Khoirunisa, R., Kamila, N., Rohmah, L., ... &amp; Jang, H. (2024). SHARE HEIGHTS-FS (Higher Education Institutions Generating Holistic &amp; Transferable Solutions–Financial Sustainability) Indonesia, Final Report.</w:t>
      </w:r>
      <w:r w:rsidDel="00000000" w:rsidR="00000000" w:rsidRPr="00000000">
        <w:rPr>
          <w:rtl w:val="0"/>
        </w:rPr>
      </w:r>
    </w:p>
    <w:p w:rsidR="00000000" w:rsidDel="00000000" w:rsidP="00000000" w:rsidRDefault="00000000" w:rsidRPr="00000000" w14:paraId="0000008E">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Gayathri, R., Vijayabanu, C., &amp; Theresa, C. (2024). Economic Disruption and Global Obscurity–Insights and Challenges. In </w:t>
      </w:r>
      <w:r w:rsidDel="00000000" w:rsidR="00000000" w:rsidRPr="00000000">
        <w:rPr>
          <w:rFonts w:ascii="Times New Roman" w:cs="Times New Roman" w:eastAsia="Times New Roman" w:hAnsi="Times New Roman"/>
          <w:i w:val="1"/>
          <w:iCs w:val="1"/>
          <w:color w:val="222222"/>
          <w:highlight w:val="white"/>
          <w:rtl w:val="0"/>
        </w:rPr>
        <w:t xml:space="preserve">Economic Uncertainty in the Post-Pandemic Era</w:t>
      </w:r>
      <w:r w:rsidDel="00000000" w:rsidR="00000000" w:rsidRPr="00000000">
        <w:rPr>
          <w:rFonts w:ascii="Times New Roman" w:cs="Times New Roman" w:eastAsia="Times New Roman" w:hAnsi="Times New Roman"/>
          <w:color w:val="222222"/>
          <w:highlight w:val="white"/>
          <w:rtl w:val="0"/>
        </w:rPr>
        <w:t xml:space="preserve"> (pp. 1-26). Routledge.</w:t>
      </w:r>
      <w:r w:rsidDel="00000000" w:rsidR="00000000" w:rsidRPr="00000000">
        <w:rPr>
          <w:rtl w:val="0"/>
        </w:rPr>
      </w:r>
    </w:p>
    <w:p w:rsidR="00000000" w:rsidDel="00000000" w:rsidP="00000000" w:rsidRDefault="00000000" w:rsidRPr="00000000" w14:paraId="0000008F">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Grabel, I. (2024). Expanding, Creating, and Engendering Fiscal Space: Strategies Toward External Debt, Concessional Finance, and Special Drawing Rights.</w:t>
      </w:r>
      <w:r w:rsidDel="00000000" w:rsidR="00000000" w:rsidRPr="00000000">
        <w:rPr>
          <w:rtl w:val="0"/>
        </w:rPr>
      </w:r>
    </w:p>
    <w:p w:rsidR="00000000" w:rsidDel="00000000" w:rsidP="00000000" w:rsidRDefault="00000000" w:rsidRPr="00000000" w14:paraId="00000090">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Hasudungan, A., Waskito, A. S. A., Banjaransari, A., Sanjaya, A., Ferlito, C., Pramudya, E. P., ... &amp; Kadarusman, Y. B. (2023). </w:t>
      </w:r>
      <w:r w:rsidDel="00000000" w:rsidR="00000000" w:rsidRPr="00000000">
        <w:rPr>
          <w:rFonts w:ascii="Times New Roman" w:cs="Times New Roman" w:eastAsia="Times New Roman" w:hAnsi="Times New Roman"/>
          <w:i w:val="1"/>
          <w:iCs w:val="1"/>
          <w:color w:val="222222"/>
          <w:highlight w:val="white"/>
          <w:rtl w:val="0"/>
        </w:rPr>
        <w:t xml:space="preserve">Indonesia Economic and Business Outlook 2023</w:t>
      </w:r>
      <w:r w:rsidDel="00000000" w:rsidR="00000000" w:rsidRPr="00000000">
        <w:rPr>
          <w:rFonts w:ascii="Times New Roman" w:cs="Times New Roman" w:eastAsia="Times New Roman" w:hAnsi="Times New Roman"/>
          <w:color w:val="222222"/>
          <w:highlight w:val="white"/>
          <w:rtl w:val="0"/>
        </w:rPr>
        <w:t xml:space="preserve">. Prasetiya Mulya Publishing.</w:t>
      </w:r>
      <w:r w:rsidDel="00000000" w:rsidR="00000000" w:rsidRPr="00000000">
        <w:rPr>
          <w:rtl w:val="0"/>
        </w:rPr>
      </w:r>
    </w:p>
    <w:p w:rsidR="00000000" w:rsidDel="00000000" w:rsidP="00000000" w:rsidRDefault="00000000" w:rsidRPr="00000000" w14:paraId="00000091">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Hidayat, A., Sugiarto, L., &amp; Pujiono, P. (2021). Restoring Social Justice Through Legal Literacy and Digital Ethics after Covid-19 Pandemic in Indonesia. In </w:t>
      </w:r>
      <w:r w:rsidDel="00000000" w:rsidR="00000000" w:rsidRPr="00000000">
        <w:rPr>
          <w:rFonts w:ascii="Times New Roman" w:cs="Times New Roman" w:eastAsia="Times New Roman" w:hAnsi="Times New Roman"/>
          <w:i w:val="1"/>
          <w:iCs w:val="1"/>
          <w:color w:val="222222"/>
          <w:highlight w:val="white"/>
          <w:rtl w:val="0"/>
        </w:rPr>
        <w:t xml:space="preserve">Proceedings of the 4th International Conference on Indonesian Legal Studies, ICILS</w:t>
      </w:r>
      <w:r w:rsidDel="00000000" w:rsidR="00000000" w:rsidRPr="00000000">
        <w:rPr>
          <w:rFonts w:ascii="Times New Roman" w:cs="Times New Roman" w:eastAsia="Times New Roman" w:hAnsi="Times New Roman"/>
          <w:color w:val="222222"/>
          <w:highlight w:val="white"/>
          <w:rtl w:val="0"/>
        </w:rPr>
        <w:t xml:space="preserve"> (pp. 8-9).</w:t>
      </w:r>
      <w:r w:rsidDel="00000000" w:rsidR="00000000" w:rsidRPr="00000000">
        <w:rPr>
          <w:rtl w:val="0"/>
        </w:rPr>
      </w:r>
    </w:p>
    <w:p w:rsidR="00000000" w:rsidDel="00000000" w:rsidP="00000000" w:rsidRDefault="00000000" w:rsidRPr="00000000" w14:paraId="00000092">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Hujo, K., &amp; Fuentes-Nieva, R. (2024). </w:t>
      </w:r>
      <w:r w:rsidDel="00000000" w:rsidR="00000000" w:rsidRPr="00000000">
        <w:rPr>
          <w:rFonts w:ascii="Times New Roman" w:cs="Times New Roman" w:eastAsia="Times New Roman" w:hAnsi="Times New Roman"/>
          <w:i w:val="1"/>
          <w:iCs w:val="1"/>
          <w:color w:val="222222"/>
          <w:highlight w:val="white"/>
          <w:rtl w:val="0"/>
        </w:rPr>
        <w:t xml:space="preserve">System change for economic transformation: Toward fair fiscal contracts</w:t>
      </w:r>
      <w:r w:rsidDel="00000000" w:rsidR="00000000" w:rsidRPr="00000000">
        <w:rPr>
          <w:rFonts w:ascii="Times New Roman" w:cs="Times New Roman" w:eastAsia="Times New Roman" w:hAnsi="Times New Roman"/>
          <w:color w:val="222222"/>
          <w:highlight w:val="white"/>
          <w:rtl w:val="0"/>
        </w:rPr>
        <w:t xml:space="preserve"> (No. 2024-01). UNRISD Working Paper.</w:t>
      </w:r>
      <w:r w:rsidDel="00000000" w:rsidR="00000000" w:rsidRPr="00000000">
        <w:rPr>
          <w:rtl w:val="0"/>
        </w:rPr>
      </w:r>
    </w:p>
    <w:p w:rsidR="00000000" w:rsidDel="00000000" w:rsidP="00000000" w:rsidRDefault="00000000" w:rsidRPr="00000000" w14:paraId="00000093">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Indrawati, S. M., Satriawan, E., &amp; Abdurohman. (2024). Indonesia’s Fiscal Policy in the Aftermath of the Pandemic. </w:t>
      </w:r>
      <w:r w:rsidDel="00000000" w:rsidR="00000000" w:rsidRPr="00000000">
        <w:rPr>
          <w:rFonts w:ascii="Times New Roman" w:cs="Times New Roman" w:eastAsia="Times New Roman" w:hAnsi="Times New Roman"/>
          <w:i w:val="1"/>
          <w:iCs w:val="1"/>
          <w:color w:val="222222"/>
          <w:highlight w:val="white"/>
          <w:rtl w:val="0"/>
        </w:rPr>
        <w:t xml:space="preserve">Bulletin of Indonesian Economic Studies</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60</w:t>
      </w:r>
      <w:r w:rsidDel="00000000" w:rsidR="00000000" w:rsidRPr="00000000">
        <w:rPr>
          <w:rFonts w:ascii="Times New Roman" w:cs="Times New Roman" w:eastAsia="Times New Roman" w:hAnsi="Times New Roman"/>
          <w:color w:val="222222"/>
          <w:highlight w:val="white"/>
          <w:rtl w:val="0"/>
        </w:rPr>
        <w:t xml:space="preserve">(1), 1-33.</w:t>
      </w:r>
      <w:r w:rsidDel="00000000" w:rsidR="00000000" w:rsidRPr="00000000">
        <w:rPr>
          <w:rtl w:val="0"/>
        </w:rPr>
      </w:r>
    </w:p>
    <w:p w:rsidR="00000000" w:rsidDel="00000000" w:rsidP="00000000" w:rsidRDefault="00000000" w:rsidRPr="00000000" w14:paraId="00000094">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Iskandar, A., &amp; Saragih, R. (2019). Regional Government Spending Efficiency on Health and Education in Decentralization Era: Evidence from Indonesia. </w:t>
      </w:r>
      <w:r w:rsidDel="00000000" w:rsidR="00000000" w:rsidRPr="00000000">
        <w:rPr>
          <w:rFonts w:ascii="Times New Roman" w:cs="Times New Roman" w:eastAsia="Times New Roman" w:hAnsi="Times New Roman"/>
          <w:i w:val="1"/>
          <w:iCs w:val="1"/>
          <w:color w:val="222222"/>
          <w:highlight w:val="white"/>
          <w:rtl w:val="0"/>
        </w:rPr>
        <w:t xml:space="preserve">Info Artha</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3</w:t>
      </w:r>
      <w:r w:rsidDel="00000000" w:rsidR="00000000" w:rsidRPr="00000000">
        <w:rPr>
          <w:rFonts w:ascii="Times New Roman" w:cs="Times New Roman" w:eastAsia="Times New Roman" w:hAnsi="Times New Roman"/>
          <w:color w:val="222222"/>
          <w:highlight w:val="white"/>
          <w:rtl w:val="0"/>
        </w:rPr>
        <w:t xml:space="preserve">(1), 13-27.</w:t>
      </w:r>
      <w:r w:rsidDel="00000000" w:rsidR="00000000" w:rsidRPr="00000000">
        <w:rPr>
          <w:rtl w:val="0"/>
        </w:rPr>
      </w:r>
    </w:p>
    <w:p w:rsidR="00000000" w:rsidDel="00000000" w:rsidP="00000000" w:rsidRDefault="00000000" w:rsidRPr="00000000" w14:paraId="00000095">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Judijanto, L. (2025). Adaptive Fiscal Policy: Balancing Economic Stimulus And Budget Sustainability. </w:t>
      </w:r>
      <w:r w:rsidDel="00000000" w:rsidR="00000000" w:rsidRPr="00000000">
        <w:rPr>
          <w:rFonts w:ascii="Times New Roman" w:cs="Times New Roman" w:eastAsia="Times New Roman" w:hAnsi="Times New Roman"/>
          <w:i w:val="1"/>
          <w:iCs w:val="1"/>
          <w:color w:val="222222"/>
          <w:highlight w:val="white"/>
          <w:rtl w:val="0"/>
        </w:rPr>
        <w:t xml:space="preserve">International Journal Of Financial Economics</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2</w:t>
      </w:r>
      <w:r w:rsidDel="00000000" w:rsidR="00000000" w:rsidRPr="00000000">
        <w:rPr>
          <w:rFonts w:ascii="Times New Roman" w:cs="Times New Roman" w:eastAsia="Times New Roman" w:hAnsi="Times New Roman"/>
          <w:color w:val="222222"/>
          <w:highlight w:val="white"/>
          <w:rtl w:val="0"/>
        </w:rPr>
        <w:t xml:space="preserve">(6), 602-611.</w:t>
      </w:r>
      <w:r w:rsidDel="00000000" w:rsidR="00000000" w:rsidRPr="00000000">
        <w:rPr>
          <w:rtl w:val="0"/>
        </w:rPr>
      </w:r>
    </w:p>
    <w:p w:rsidR="00000000" w:rsidDel="00000000" w:rsidP="00000000" w:rsidRDefault="00000000" w:rsidRPr="00000000" w14:paraId="00000096">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Kacaribu, F. N., &amp; Crystallin, M. (2022). Maintaining Macroeconomic Stability during the Pandemic. </w:t>
      </w:r>
      <w:r w:rsidDel="00000000" w:rsidR="00000000" w:rsidRPr="00000000">
        <w:rPr>
          <w:rFonts w:ascii="Times New Roman" w:cs="Times New Roman" w:eastAsia="Times New Roman" w:hAnsi="Times New Roman"/>
          <w:i w:val="1"/>
          <w:iCs w:val="1"/>
          <w:color w:val="222222"/>
          <w:highlight w:val="white"/>
          <w:rtl w:val="0"/>
        </w:rPr>
        <w:t xml:space="preserve">Keeping Indonesia Safe from the COVID-19 Pandemic: Lessons Learnt from the National Economic Recovery Programme</w:t>
      </w:r>
      <w:r w:rsidDel="00000000" w:rsidR="00000000" w:rsidRPr="00000000">
        <w:rPr>
          <w:rFonts w:ascii="Times New Roman" w:cs="Times New Roman" w:eastAsia="Times New Roman" w:hAnsi="Times New Roman"/>
          <w:color w:val="222222"/>
          <w:highlight w:val="white"/>
          <w:rtl w:val="0"/>
        </w:rPr>
        <w:t xml:space="preserve">, 67-105.</w:t>
      </w:r>
      <w:r w:rsidDel="00000000" w:rsidR="00000000" w:rsidRPr="00000000">
        <w:rPr>
          <w:rtl w:val="0"/>
        </w:rPr>
      </w:r>
    </w:p>
    <w:p w:rsidR="00000000" w:rsidDel="00000000" w:rsidP="00000000" w:rsidRDefault="00000000" w:rsidRPr="00000000" w14:paraId="00000097">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Kemenkes, R. I. (2024). Laporan Kinerja Direktorat Perencanaan Tenaga Kesehatan 2024.</w:t>
      </w:r>
      <w:r w:rsidDel="00000000" w:rsidR="00000000" w:rsidRPr="00000000">
        <w:rPr>
          <w:rtl w:val="0"/>
        </w:rPr>
      </w:r>
    </w:p>
    <w:p w:rsidR="00000000" w:rsidDel="00000000" w:rsidP="00000000" w:rsidRDefault="00000000" w:rsidRPr="00000000" w14:paraId="00000098">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Khairi, F. R. (2024). Indonesia's Fiscal Policy in the Midst of Recession and Post-Pandemic Recovery Reviewed from an Islamic Fiscal Perspective. </w:t>
      </w:r>
      <w:r w:rsidDel="00000000" w:rsidR="00000000" w:rsidRPr="00000000">
        <w:rPr>
          <w:rFonts w:ascii="Times New Roman" w:cs="Times New Roman" w:eastAsia="Times New Roman" w:hAnsi="Times New Roman"/>
          <w:i w:val="1"/>
          <w:iCs w:val="1"/>
          <w:color w:val="222222"/>
          <w:highlight w:val="white"/>
          <w:rtl w:val="0"/>
        </w:rPr>
        <w:t xml:space="preserve">Al-Mustashfa: Jurnal Penelitian Hukum Ekonomi Syariah</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9</w:t>
      </w:r>
      <w:r w:rsidDel="00000000" w:rsidR="00000000" w:rsidRPr="00000000">
        <w:rPr>
          <w:rFonts w:ascii="Times New Roman" w:cs="Times New Roman" w:eastAsia="Times New Roman" w:hAnsi="Times New Roman"/>
          <w:color w:val="222222"/>
          <w:highlight w:val="white"/>
          <w:rtl w:val="0"/>
        </w:rPr>
        <w:t xml:space="preserve">(2), 399-418.</w:t>
      </w:r>
      <w:r w:rsidDel="00000000" w:rsidR="00000000" w:rsidRPr="00000000">
        <w:rPr>
          <w:rtl w:val="0"/>
        </w:rPr>
      </w:r>
    </w:p>
    <w:p w:rsidR="00000000" w:rsidDel="00000000" w:rsidP="00000000" w:rsidRDefault="00000000" w:rsidRPr="00000000" w14:paraId="00000099">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Kusumayuda, G. (2021). </w:t>
      </w:r>
      <w:r w:rsidDel="00000000" w:rsidR="00000000" w:rsidRPr="00000000">
        <w:rPr>
          <w:rFonts w:ascii="Times New Roman" w:cs="Times New Roman" w:eastAsia="Times New Roman" w:hAnsi="Times New Roman"/>
          <w:i w:val="1"/>
          <w:iCs w:val="1"/>
          <w:color w:val="222222"/>
          <w:highlight w:val="white"/>
          <w:rtl w:val="0"/>
        </w:rPr>
        <w:t xml:space="preserve">Analysis Of The Transition To Palm-Based Biofuel On The Indonesian Military’s Energy Security</w:t>
      </w:r>
      <w:r w:rsidDel="00000000" w:rsidR="00000000" w:rsidRPr="00000000">
        <w:rPr>
          <w:rFonts w:ascii="Times New Roman" w:cs="Times New Roman" w:eastAsia="Times New Roman" w:hAnsi="Times New Roman"/>
          <w:color w:val="222222"/>
          <w:highlight w:val="white"/>
          <w:rtl w:val="0"/>
        </w:rPr>
        <w:t xml:space="preserve"> (Doctoral dissertation, Monterey, CA; Naval Postgraduate School).</w:t>
      </w:r>
      <w:r w:rsidDel="00000000" w:rsidR="00000000" w:rsidRPr="00000000">
        <w:rPr>
          <w:rtl w:val="0"/>
        </w:rPr>
      </w:r>
    </w:p>
    <w:p w:rsidR="00000000" w:rsidDel="00000000" w:rsidP="00000000" w:rsidRDefault="00000000" w:rsidRPr="00000000" w14:paraId="0000009A">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Luong, A. T., Nguyen, A. T. P., &amp; Nguyen, Q. T. (2025). Monetary policy spillovers in a fragmented world: the role of geopolitical risk pre-and post-COVID-19 pandemic. </w:t>
      </w:r>
      <w:r w:rsidDel="00000000" w:rsidR="00000000" w:rsidRPr="00000000">
        <w:rPr>
          <w:rFonts w:ascii="Times New Roman" w:cs="Times New Roman" w:eastAsia="Times New Roman" w:hAnsi="Times New Roman"/>
          <w:i w:val="1"/>
          <w:iCs w:val="1"/>
          <w:color w:val="222222"/>
          <w:highlight w:val="white"/>
          <w:rtl w:val="0"/>
        </w:rPr>
        <w:t xml:space="preserve">Journal of Economics and Development</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27</w:t>
      </w:r>
      <w:r w:rsidDel="00000000" w:rsidR="00000000" w:rsidRPr="00000000">
        <w:rPr>
          <w:rFonts w:ascii="Times New Roman" w:cs="Times New Roman" w:eastAsia="Times New Roman" w:hAnsi="Times New Roman"/>
          <w:color w:val="222222"/>
          <w:highlight w:val="white"/>
          <w:rtl w:val="0"/>
        </w:rPr>
        <w:t xml:space="preserve">(2), 175-191.</w:t>
      </w:r>
      <w:r w:rsidDel="00000000" w:rsidR="00000000" w:rsidRPr="00000000">
        <w:rPr>
          <w:rtl w:val="0"/>
        </w:rPr>
      </w:r>
    </w:p>
    <w:p w:rsidR="00000000" w:rsidDel="00000000" w:rsidP="00000000" w:rsidRDefault="00000000" w:rsidRPr="00000000" w14:paraId="0000009B">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Mahira, D. F., &amp; Karjoko, L. (2024, December). The Model for Establishing Community-Based Renewable Energy Regulation in Indonesia with Just Transition. In </w:t>
      </w:r>
      <w:r w:rsidDel="00000000" w:rsidR="00000000" w:rsidRPr="00000000">
        <w:rPr>
          <w:rFonts w:ascii="Times New Roman" w:cs="Times New Roman" w:eastAsia="Times New Roman" w:hAnsi="Times New Roman"/>
          <w:i w:val="1"/>
          <w:iCs w:val="1"/>
          <w:color w:val="222222"/>
          <w:highlight w:val="white"/>
          <w:rtl w:val="0"/>
        </w:rPr>
        <w:t xml:space="preserve">International Conference on Cultural Policy and Sustainable Development (ICPSD 2024)</w:t>
      </w:r>
      <w:r w:rsidDel="00000000" w:rsidR="00000000" w:rsidRPr="00000000">
        <w:rPr>
          <w:rFonts w:ascii="Times New Roman" w:cs="Times New Roman" w:eastAsia="Times New Roman" w:hAnsi="Times New Roman"/>
          <w:color w:val="222222"/>
          <w:highlight w:val="white"/>
          <w:rtl w:val="0"/>
        </w:rPr>
        <w:t xml:space="preserve"> (pp. 145-149). Atlantis Press.</w:t>
      </w:r>
      <w:r w:rsidDel="00000000" w:rsidR="00000000" w:rsidRPr="00000000">
        <w:rPr>
          <w:rtl w:val="0"/>
        </w:rPr>
      </w:r>
    </w:p>
    <w:p w:rsidR="00000000" w:rsidDel="00000000" w:rsidP="00000000" w:rsidRDefault="00000000" w:rsidRPr="00000000" w14:paraId="0000009C">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Muksin, A. (2024). The Function of the State Revenue and Expenditure Budget Stabilizer in Supporting Development. </w:t>
      </w:r>
      <w:r w:rsidDel="00000000" w:rsidR="00000000" w:rsidRPr="00000000">
        <w:rPr>
          <w:rFonts w:ascii="Times New Roman" w:cs="Times New Roman" w:eastAsia="Times New Roman" w:hAnsi="Times New Roman"/>
          <w:i w:val="1"/>
          <w:iCs w:val="1"/>
          <w:color w:val="222222"/>
          <w:highlight w:val="white"/>
          <w:rtl w:val="0"/>
        </w:rPr>
        <w:t xml:space="preserve">Zona Law And Public Administration Indonesia</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2</w:t>
      </w:r>
      <w:r w:rsidDel="00000000" w:rsidR="00000000" w:rsidRPr="00000000">
        <w:rPr>
          <w:rFonts w:ascii="Times New Roman" w:cs="Times New Roman" w:eastAsia="Times New Roman" w:hAnsi="Times New Roman"/>
          <w:color w:val="222222"/>
          <w:highlight w:val="white"/>
          <w:rtl w:val="0"/>
        </w:rPr>
        <w:t xml:space="preserve">(3), 1-8.</w:t>
      </w:r>
      <w:r w:rsidDel="00000000" w:rsidR="00000000" w:rsidRPr="00000000">
        <w:rPr>
          <w:rtl w:val="0"/>
        </w:rPr>
      </w:r>
    </w:p>
    <w:p w:rsidR="00000000" w:rsidDel="00000000" w:rsidP="00000000" w:rsidRDefault="00000000" w:rsidRPr="00000000" w14:paraId="0000009D">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Ollivaud, P. (2017). Improving the allocation and efficiency of public spending in Indonesia. </w:t>
      </w:r>
      <w:r w:rsidDel="00000000" w:rsidR="00000000" w:rsidRPr="00000000">
        <w:rPr>
          <w:rFonts w:ascii="Times New Roman" w:cs="Times New Roman" w:eastAsia="Times New Roman" w:hAnsi="Times New Roman"/>
          <w:i w:val="1"/>
          <w:iCs w:val="1"/>
          <w:color w:val="222222"/>
          <w:highlight w:val="white"/>
          <w:rtl w:val="0"/>
        </w:rPr>
        <w:t xml:space="preserve">OECD Economic Department Working Papers</w:t>
      </w:r>
      <w:r w:rsidDel="00000000" w:rsidR="00000000" w:rsidRPr="00000000">
        <w:rPr>
          <w:rFonts w:ascii="Times New Roman" w:cs="Times New Roman" w:eastAsia="Times New Roman" w:hAnsi="Times New Roman"/>
          <w:color w:val="222222"/>
          <w:highlight w:val="white"/>
          <w:rtl w:val="0"/>
        </w:rPr>
        <w:t xml:space="preserve">, (1381), 0_1.</w:t>
      </w:r>
      <w:r w:rsidDel="00000000" w:rsidR="00000000" w:rsidRPr="00000000">
        <w:rPr>
          <w:rtl w:val="0"/>
        </w:rPr>
      </w:r>
    </w:p>
    <w:p w:rsidR="00000000" w:rsidDel="00000000" w:rsidP="00000000" w:rsidRDefault="00000000" w:rsidRPr="00000000" w14:paraId="0000009E">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Patra, M. D. (2025). </w:t>
      </w:r>
      <w:r w:rsidDel="00000000" w:rsidR="00000000" w:rsidRPr="00000000">
        <w:rPr>
          <w:rFonts w:ascii="Times New Roman" w:cs="Times New Roman" w:eastAsia="Times New Roman" w:hAnsi="Times New Roman"/>
          <w:i w:val="1"/>
          <w:iCs w:val="1"/>
          <w:color w:val="222222"/>
          <w:highlight w:val="white"/>
          <w:rtl w:val="0"/>
        </w:rPr>
        <w:t xml:space="preserve">Testimonials of Tumultuous Times</w:t>
      </w:r>
      <w:r w:rsidDel="00000000" w:rsidR="00000000" w:rsidRPr="00000000">
        <w:rPr>
          <w:rFonts w:ascii="Times New Roman" w:cs="Times New Roman" w:eastAsia="Times New Roman" w:hAnsi="Times New Roman"/>
          <w:color w:val="222222"/>
          <w:highlight w:val="white"/>
          <w:rtl w:val="0"/>
        </w:rPr>
        <w:t xml:space="preserve">. Taylor &amp; Francis.</w:t>
      </w:r>
      <w:r w:rsidDel="00000000" w:rsidR="00000000" w:rsidRPr="00000000">
        <w:rPr>
          <w:rtl w:val="0"/>
        </w:rPr>
      </w:r>
    </w:p>
    <w:p w:rsidR="00000000" w:rsidDel="00000000" w:rsidP="00000000" w:rsidRDefault="00000000" w:rsidRPr="00000000" w14:paraId="0000009F">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Pulipaka, S., Srinivasan, K., &amp; Mayall, J. (Eds.). (2023). </w:t>
      </w:r>
      <w:r w:rsidDel="00000000" w:rsidR="00000000" w:rsidRPr="00000000">
        <w:rPr>
          <w:rFonts w:ascii="Times New Roman" w:cs="Times New Roman" w:eastAsia="Times New Roman" w:hAnsi="Times New Roman"/>
          <w:i w:val="1"/>
          <w:iCs w:val="1"/>
          <w:color w:val="222222"/>
          <w:highlight w:val="white"/>
          <w:rtl w:val="0"/>
        </w:rPr>
        <w:t xml:space="preserve">Power, Legitimacy, and World Order: Changing Contours of Preconditions and Perspectives</w:t>
      </w:r>
      <w:r w:rsidDel="00000000" w:rsidR="00000000" w:rsidRPr="00000000">
        <w:rPr>
          <w:rFonts w:ascii="Times New Roman" w:cs="Times New Roman" w:eastAsia="Times New Roman" w:hAnsi="Times New Roman"/>
          <w:color w:val="222222"/>
          <w:highlight w:val="white"/>
          <w:rtl w:val="0"/>
        </w:rPr>
        <w:t xml:space="preserve">. Taylor &amp; Francis.</w:t>
      </w:r>
      <w:r w:rsidDel="00000000" w:rsidR="00000000" w:rsidRPr="00000000">
        <w:rPr>
          <w:rtl w:val="0"/>
        </w:rPr>
      </w:r>
    </w:p>
    <w:p w:rsidR="00000000" w:rsidDel="00000000" w:rsidP="00000000" w:rsidRDefault="00000000" w:rsidRPr="00000000" w14:paraId="000000A0">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Rahman, N. A. A. (2023). </w:t>
      </w:r>
      <w:r w:rsidDel="00000000" w:rsidR="00000000" w:rsidRPr="00000000">
        <w:rPr>
          <w:rFonts w:ascii="Times New Roman" w:cs="Times New Roman" w:eastAsia="Times New Roman" w:hAnsi="Times New Roman"/>
          <w:i w:val="1"/>
          <w:iCs w:val="1"/>
          <w:color w:val="222222"/>
          <w:highlight w:val="white"/>
          <w:rtl w:val="0"/>
        </w:rPr>
        <w:t xml:space="preserve">Digital transformation in aviation, tourism and hospitality in Southeast Asia</w:t>
      </w:r>
      <w:r w:rsidDel="00000000" w:rsidR="00000000" w:rsidRPr="00000000">
        <w:rPr>
          <w:rFonts w:ascii="Times New Roman" w:cs="Times New Roman" w:eastAsia="Times New Roman" w:hAnsi="Times New Roman"/>
          <w:color w:val="222222"/>
          <w:highlight w:val="white"/>
          <w:rtl w:val="0"/>
        </w:rPr>
        <w:t xml:space="preserve">. A. Hassan (Ed.). Routledge.</w:t>
      </w:r>
      <w:r w:rsidDel="00000000" w:rsidR="00000000" w:rsidRPr="00000000">
        <w:rPr>
          <w:rtl w:val="0"/>
        </w:rPr>
      </w:r>
    </w:p>
    <w:p w:rsidR="00000000" w:rsidDel="00000000" w:rsidP="00000000" w:rsidRDefault="00000000" w:rsidRPr="00000000" w14:paraId="000000A1">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Ramesh, S. (2025). The Future of Indonesia’s Economy (2024 and Beyond). In </w:t>
      </w:r>
      <w:r w:rsidDel="00000000" w:rsidR="00000000" w:rsidRPr="00000000">
        <w:rPr>
          <w:rFonts w:ascii="Times New Roman" w:cs="Times New Roman" w:eastAsia="Times New Roman" w:hAnsi="Times New Roman"/>
          <w:i w:val="1"/>
          <w:iCs w:val="1"/>
          <w:color w:val="222222"/>
          <w:highlight w:val="white"/>
          <w:rtl w:val="0"/>
        </w:rPr>
        <w:t xml:space="preserve">The Political Economy of Indonesia’s Economic Development, Volume II: Contemporary and Future Developments: 1997AD to 2024AD</w:t>
      </w:r>
      <w:r w:rsidDel="00000000" w:rsidR="00000000" w:rsidRPr="00000000">
        <w:rPr>
          <w:rFonts w:ascii="Times New Roman" w:cs="Times New Roman" w:eastAsia="Times New Roman" w:hAnsi="Times New Roman"/>
          <w:color w:val="222222"/>
          <w:highlight w:val="white"/>
          <w:rtl w:val="0"/>
        </w:rPr>
        <w:t xml:space="preserve"> (pp. 379-415). Cham: Springer Nature Switzerland.</w:t>
      </w:r>
      <w:r w:rsidDel="00000000" w:rsidR="00000000" w:rsidRPr="00000000">
        <w:rPr>
          <w:rtl w:val="0"/>
        </w:rPr>
      </w:r>
    </w:p>
    <w:p w:rsidR="00000000" w:rsidDel="00000000" w:rsidP="00000000" w:rsidRDefault="00000000" w:rsidRPr="00000000" w14:paraId="000000A2">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Satria, R. (2025, March). Bridging the Gap: Indonesia and the Path to Sustainable Development in the Global South. In </w:t>
      </w:r>
      <w:r w:rsidDel="00000000" w:rsidR="00000000" w:rsidRPr="00000000">
        <w:rPr>
          <w:rFonts w:ascii="Times New Roman" w:cs="Times New Roman" w:eastAsia="Times New Roman" w:hAnsi="Times New Roman"/>
          <w:i w:val="1"/>
          <w:iCs w:val="1"/>
          <w:color w:val="222222"/>
          <w:highlight w:val="white"/>
          <w:rtl w:val="0"/>
        </w:rPr>
        <w:t xml:space="preserve">Proceedings of the 8th International Conference on Social and Political Sciences (ICoSaPS 2024)</w:t>
      </w:r>
      <w:r w:rsidDel="00000000" w:rsidR="00000000" w:rsidRPr="00000000">
        <w:rPr>
          <w:rFonts w:ascii="Times New Roman" w:cs="Times New Roman" w:eastAsia="Times New Roman" w:hAnsi="Times New Roman"/>
          <w:color w:val="222222"/>
          <w:highlight w:val="white"/>
          <w:rtl w:val="0"/>
        </w:rPr>
        <w:t xml:space="preserve"> (Vol. 903, p. 34). Springer Nature.</w:t>
      </w:r>
      <w:r w:rsidDel="00000000" w:rsidR="00000000" w:rsidRPr="00000000">
        <w:rPr>
          <w:rtl w:val="0"/>
        </w:rPr>
      </w:r>
    </w:p>
    <w:p w:rsidR="00000000" w:rsidDel="00000000" w:rsidP="00000000" w:rsidRDefault="00000000" w:rsidRPr="00000000" w14:paraId="000000A3">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Touat, O. (2024). Global Supply Chain Disruptions: Lessons From the COVID-19 Pandemic Crisis. In </w:t>
      </w:r>
      <w:r w:rsidDel="00000000" w:rsidR="00000000" w:rsidRPr="00000000">
        <w:rPr>
          <w:rFonts w:ascii="Times New Roman" w:cs="Times New Roman" w:eastAsia="Times New Roman" w:hAnsi="Times New Roman"/>
          <w:i w:val="1"/>
          <w:iCs w:val="1"/>
          <w:color w:val="222222"/>
          <w:highlight w:val="white"/>
          <w:rtl w:val="0"/>
        </w:rPr>
        <w:t xml:space="preserve">Business Resilience and Market Adaptability: Pandemic Effects and Strategies for Recovery</w:t>
      </w:r>
      <w:r w:rsidDel="00000000" w:rsidR="00000000" w:rsidRPr="00000000">
        <w:rPr>
          <w:rFonts w:ascii="Times New Roman" w:cs="Times New Roman" w:eastAsia="Times New Roman" w:hAnsi="Times New Roman"/>
          <w:color w:val="222222"/>
          <w:highlight w:val="white"/>
          <w:rtl w:val="0"/>
        </w:rPr>
        <w:t xml:space="preserve"> (pp. 117-135). Singapore: Springer Nature Singapore.</w:t>
      </w:r>
      <w:r w:rsidDel="00000000" w:rsidR="00000000" w:rsidRPr="00000000">
        <w:rPr>
          <w:rtl w:val="0"/>
        </w:rPr>
      </w:r>
    </w:p>
    <w:p w:rsidR="00000000" w:rsidDel="00000000" w:rsidP="00000000" w:rsidRDefault="00000000" w:rsidRPr="00000000" w14:paraId="000000A4">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Trisnantoro, L. (2022). 2 Post-pandemic trajectory of health-reform financing in Indonesia. </w:t>
      </w:r>
      <w:r w:rsidDel="00000000" w:rsidR="00000000" w:rsidRPr="00000000">
        <w:rPr>
          <w:rFonts w:ascii="Times New Roman" w:cs="Times New Roman" w:eastAsia="Times New Roman" w:hAnsi="Times New Roman"/>
          <w:i w:val="1"/>
          <w:iCs w:val="1"/>
          <w:color w:val="222222"/>
          <w:highlight w:val="white"/>
          <w:rtl w:val="0"/>
        </w:rPr>
        <w:t xml:space="preserve">In Sickness and In Health: Diagnosing Indonesia</w:t>
      </w:r>
      <w:r w:rsidDel="00000000" w:rsidR="00000000" w:rsidRPr="00000000">
        <w:rPr>
          <w:rFonts w:ascii="Times New Roman" w:cs="Times New Roman" w:eastAsia="Times New Roman" w:hAnsi="Times New Roman"/>
          <w:color w:val="222222"/>
          <w:highlight w:val="white"/>
          <w:rtl w:val="0"/>
        </w:rPr>
        <w:t xml:space="preserve">, 17.</w:t>
      </w:r>
      <w:r w:rsidDel="00000000" w:rsidR="00000000" w:rsidRPr="00000000">
        <w:rPr>
          <w:rtl w:val="0"/>
        </w:rPr>
      </w:r>
    </w:p>
    <w:p w:rsidR="00000000" w:rsidDel="00000000" w:rsidP="00000000" w:rsidRDefault="00000000" w:rsidRPr="00000000" w14:paraId="000000A5">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Ulani, S. Y., &amp; Aprirachman, R. (2025). Post-Pandemic Economic Recovery In Indonesia: A Systematic Literature Review On Key Drivers, Challenges, And Policy Implications. </w:t>
      </w:r>
      <w:r w:rsidDel="00000000" w:rsidR="00000000" w:rsidRPr="00000000">
        <w:rPr>
          <w:rFonts w:ascii="Times New Roman" w:cs="Times New Roman" w:eastAsia="Times New Roman" w:hAnsi="Times New Roman"/>
          <w:i w:val="1"/>
          <w:iCs w:val="1"/>
          <w:color w:val="222222"/>
          <w:highlight w:val="white"/>
          <w:rtl w:val="0"/>
        </w:rPr>
        <w:t xml:space="preserve">Ecobisma (Jurnal Ekonomi, Bisnis Dan Manajemen)</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highlight w:val="white"/>
          <w:rtl w:val="0"/>
        </w:rPr>
        <w:t xml:space="preserve">12</w:t>
      </w:r>
      <w:r w:rsidDel="00000000" w:rsidR="00000000" w:rsidRPr="00000000">
        <w:rPr>
          <w:rFonts w:ascii="Times New Roman" w:cs="Times New Roman" w:eastAsia="Times New Roman" w:hAnsi="Times New Roman"/>
          <w:color w:val="222222"/>
          <w:highlight w:val="white"/>
          <w:rtl w:val="0"/>
        </w:rPr>
        <w:t xml:space="preserve">(2), 174-187.</w:t>
      </w:r>
      <w:r w:rsidDel="00000000" w:rsidR="00000000" w:rsidRPr="00000000">
        <w:rPr>
          <w:rtl w:val="0"/>
        </w:rPr>
      </w:r>
    </w:p>
    <w:p w:rsidR="00000000" w:rsidDel="00000000" w:rsidP="00000000" w:rsidRDefault="00000000" w:rsidRPr="00000000" w14:paraId="000000A6">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Weber, M. (2025). </w:t>
      </w:r>
      <w:r w:rsidDel="00000000" w:rsidR="00000000" w:rsidRPr="00000000">
        <w:rPr>
          <w:rFonts w:ascii="Times New Roman" w:cs="Times New Roman" w:eastAsia="Times New Roman" w:hAnsi="Times New Roman"/>
          <w:i w:val="1"/>
          <w:iCs w:val="1"/>
          <w:color w:val="222222"/>
          <w:highlight w:val="white"/>
          <w:rtl w:val="0"/>
        </w:rPr>
        <w:t xml:space="preserve">Inclusive growth &amp; climate change–a fiscal challenge for the ASEAN</w:t>
      </w:r>
      <w:r w:rsidDel="00000000" w:rsidR="00000000" w:rsidRPr="00000000">
        <w:rPr>
          <w:rFonts w:ascii="Times New Roman" w:cs="Times New Roman" w:eastAsia="Times New Roman" w:hAnsi="Times New Roman"/>
          <w:color w:val="222222"/>
          <w:highlight w:val="white"/>
          <w:rtl w:val="0"/>
        </w:rPr>
        <w:t xml:space="preserve"> (Doctoral dissertation, James Cook University).</w:t>
      </w:r>
      <w:r w:rsidDel="00000000" w:rsidR="00000000" w:rsidRPr="00000000">
        <w:rPr>
          <w:rtl w:val="0"/>
        </w:rPr>
      </w:r>
    </w:p>
    <w:p w:rsidR="00000000" w:rsidDel="00000000" w:rsidP="00000000" w:rsidRDefault="00000000" w:rsidRPr="00000000" w14:paraId="000000A7">
      <w:pPr>
        <w:ind w:left="567" w:hanging="567"/>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222222"/>
          <w:highlight w:val="white"/>
          <w:rtl w:val="0"/>
        </w:rPr>
        <w:t xml:space="preserve">Yoganandham, G. (2024). Navigating Global Economic Dynamics: A Macroscopic Analysis Of Multilateralism, Recovery, And Fiscal Stability In A Post-Pandemic World. </w:t>
      </w:r>
      <w:r w:rsidDel="00000000" w:rsidR="00000000" w:rsidRPr="00000000">
        <w:rPr>
          <w:rFonts w:ascii="Times New Roman" w:cs="Times New Roman" w:eastAsia="Times New Roman" w:hAnsi="Times New Roman"/>
          <w:i w:val="1"/>
          <w:iCs w:val="1"/>
          <w:color w:val="222222"/>
          <w:rtl w:val="0"/>
        </w:rPr>
        <w:t xml:space="preserve">Degrés</w:t>
      </w: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iCs w:val="1"/>
          <w:color w:val="222222"/>
          <w:rtl w:val="0"/>
        </w:rPr>
        <w:t xml:space="preserve">9</w:t>
      </w:r>
      <w:r w:rsidDel="00000000" w:rsidR="00000000" w:rsidRPr="00000000">
        <w:rPr>
          <w:rFonts w:ascii="Times New Roman" w:cs="Times New Roman" w:eastAsia="Times New Roman" w:hAnsi="Times New Roman"/>
          <w:color w:val="222222"/>
          <w:highlight w:val="white"/>
          <w:rtl w:val="0"/>
        </w:rPr>
        <w:t xml:space="preserve">(2).</w:t>
      </w:r>
      <w:r w:rsidDel="00000000" w:rsidR="00000000" w:rsidRPr="00000000">
        <w:rPr>
          <w:rtl w:val="0"/>
        </w:rPr>
      </w:r>
    </w:p>
    <w:p w:rsidR="00000000" w:rsidDel="00000000" w:rsidP="00000000" w:rsidRDefault="00000000" w:rsidRPr="00000000" w14:paraId="000000A8">
      <w:pPr>
        <w:spacing w:after="240" w:lineRule="auto"/>
        <w:ind w:left="567" w:firstLine="0"/>
        <w:rPr/>
      </w:pPr>
      <w:r w:rsidDel="00000000" w:rsidR="00000000" w:rsidRPr="00000000">
        <w:rPr>
          <w:rtl w:val="0"/>
        </w:rPr>
      </w:r>
    </w:p>
    <w:p w:rsidR="00000000" w:rsidDel="00000000" w:rsidP="00000000" w:rsidRDefault="00000000" w:rsidRPr="00000000" w14:paraId="000000A9">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AA">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AB">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AC">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AD">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AE">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AF">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B0">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2320290"/>
            <wp:effectExtent b="0" l="0" r="0" t="0"/>
            <wp:docPr id="14" name="image1.png"/>
            <a:graphic>
              <a:graphicData uri="http://schemas.openxmlformats.org/drawingml/2006/picture">
                <pic:pic>
                  <pic:nvPicPr>
                    <pic:cNvPr id="0" name="image1.png"/>
                    <pic:cNvPicPr preferRelativeResize="0"/>
                  </pic:nvPicPr>
                  <pic:blipFill>
                    <a:blip r:embed="rId98"/>
                    <a:srcRect b="0" l="0" r="0" t="0"/>
                    <a:stretch>
                      <a:fillRect/>
                    </a:stretch>
                  </pic:blipFill>
                  <pic:spPr>
                    <a:xfrm>
                      <a:off x="0" y="0"/>
                      <a:ext cx="5731510" cy="232029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3260090"/>
            <wp:effectExtent b="0" l="0" r="0" t="0"/>
            <wp:docPr id="13" name="image4.png"/>
            <a:graphic>
              <a:graphicData uri="http://schemas.openxmlformats.org/drawingml/2006/picture">
                <pic:pic>
                  <pic:nvPicPr>
                    <pic:cNvPr id="0" name="image4.png"/>
                    <pic:cNvPicPr preferRelativeResize="0"/>
                  </pic:nvPicPr>
                  <pic:blipFill>
                    <a:blip r:embed="rId99"/>
                    <a:srcRect b="0" l="0" r="0" t="0"/>
                    <a:stretch>
                      <a:fillRect/>
                    </a:stretch>
                  </pic:blipFill>
                  <pic:spPr>
                    <a:xfrm>
                      <a:off x="0" y="0"/>
                      <a:ext cx="5731510" cy="3260090"/>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tabs>
          <w:tab w:val="center" w:leader="none" w:pos="5189"/>
          <w:tab w:val="left" w:leader="none" w:pos="9525"/>
        </w:tabs>
        <w:rPr>
          <w:b w:val="1"/>
          <w:bCs w:val="1"/>
          <w:i w:val="1"/>
          <w:iCs w:val="1"/>
        </w:rPr>
      </w:pPr>
      <w:r w:rsidDel="00000000" w:rsidR="00000000" w:rsidRPr="00000000">
        <w:rPr>
          <w:b w:val="1"/>
          <w:bCs w:val="1"/>
          <w:i w:val="1"/>
          <w:iCs w:val="1"/>
          <w:rtl w:val="0"/>
        </w:rPr>
        <w:t xml:space="preserve">Transformasi Paradigma Fiskal Indonesia dalam Konteks Pembangunan dan Kemandirian Nasional.</w:t>
      </w:r>
    </w:p>
    <w:p w:rsidR="00000000" w:rsidDel="00000000" w:rsidP="00000000" w:rsidRDefault="00000000" w:rsidRPr="00000000" w14:paraId="000000B7">
      <w:pPr>
        <w:tabs>
          <w:tab w:val="center" w:leader="none" w:pos="5189"/>
          <w:tab w:val="left" w:leader="none" w:pos="9525"/>
        </w:tabs>
        <w:rPr>
          <w:b w:val="1"/>
          <w:bCs w:val="1"/>
          <w:sz w:val="12"/>
          <w:szCs w:val="12"/>
        </w:rPr>
      </w:pPr>
      <w:r w:rsidDel="00000000" w:rsidR="00000000" w:rsidRPr="00000000">
        <w:rPr>
          <w:rtl w:val="0"/>
        </w:rPr>
      </w:r>
    </w:p>
    <w:p w:rsidR="00000000" w:rsidDel="00000000" w:rsidP="00000000" w:rsidRDefault="00000000" w:rsidRPr="00000000" w14:paraId="000000B8">
      <w:pPr>
        <w:pBdr>
          <w:top w:space="0" w:sz="0" w:val="nil"/>
          <w:left w:space="0" w:sz="0" w:val="nil"/>
          <w:bottom w:color="000000" w:space="1" w:sz="4" w:val="single"/>
          <w:right w:space="0" w:sz="0" w:val="nil"/>
          <w:between w:space="0" w:sz="0" w:val="nil"/>
        </w:pBdr>
        <w:spacing w:after="220" w:line="230" w:lineRule="auto"/>
        <w:rPr>
          <w:i w:val="1"/>
          <w:iCs w:val="1"/>
          <w:color w:val="000000"/>
        </w:rPr>
      </w:pPr>
      <w:r w:rsidDel="00000000" w:rsidR="00000000" w:rsidRPr="00000000">
        <w:rPr>
          <w:rtl w:val="0"/>
        </w:rPr>
      </w:r>
    </w:p>
    <w:tbl>
      <w:tblPr>
        <w:tblStyle w:val="Table3"/>
        <w:tblW w:w="8237.0" w:type="dxa"/>
        <w:jc w:val="center"/>
        <w:tblLayout w:type="fixed"/>
        <w:tblLook w:val="0000"/>
      </w:tblPr>
      <w:tblGrid>
        <w:gridCol w:w="2621"/>
        <w:gridCol w:w="236"/>
        <w:gridCol w:w="5380"/>
        <w:tblGridChange w:id="0">
          <w:tblGrid>
            <w:gridCol w:w="2621"/>
            <w:gridCol w:w="236"/>
            <w:gridCol w:w="5380"/>
          </w:tblGrid>
        </w:tblGridChange>
      </w:tblGrid>
      <w:tr>
        <w:trPr>
          <w:cantSplit w:val="0"/>
          <w:tblHeader w:val="0"/>
        </w:trPr>
        <w:tc>
          <w:tcPr>
            <w:vMerge w:val="restart"/>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120" w:lineRule="auto"/>
              <w:jc w:val="both"/>
              <w:rPr>
                <w:smallCaps w:val="1"/>
                <w:color w:val="000000"/>
                <w:sz w:val="22"/>
                <w:szCs w:val="22"/>
              </w:rPr>
            </w:pPr>
            <w:r w:rsidDel="00000000" w:rsidR="00000000" w:rsidRPr="00000000">
              <w:rPr>
                <w:smallCaps w:val="1"/>
                <w:color w:val="000000"/>
                <w:sz w:val="22"/>
                <w:szCs w:val="22"/>
                <w:rtl w:val="0"/>
              </w:rPr>
              <w:t xml:space="preserve">InFO ARTIKEL</w:t>
            </w:r>
          </w:p>
          <w:p w:rsidR="00000000" w:rsidDel="00000000" w:rsidP="00000000" w:rsidRDefault="00000000" w:rsidRPr="00000000" w14:paraId="000000BA">
            <w:pPr>
              <w:pBdr>
                <w:top w:space="0" w:sz="0" w:val="nil"/>
                <w:left w:space="0" w:sz="0" w:val="nil"/>
                <w:bottom w:space="0" w:sz="0" w:val="nil"/>
                <w:right w:space="0" w:sz="0" w:val="nil"/>
                <w:between w:space="0" w:sz="0" w:val="nil"/>
              </w:pBdr>
              <w:rPr>
                <w:b w:val="1"/>
                <w:bCs w:val="1"/>
                <w:i w:val="1"/>
                <w:iCs w:val="1"/>
                <w:color w:val="000000"/>
                <w:sz w:val="20"/>
                <w:szCs w:val="20"/>
              </w:rPr>
            </w:pPr>
            <w:r w:rsidDel="00000000" w:rsidR="00000000" w:rsidRPr="00000000">
              <w:rPr>
                <w:b w:val="1"/>
                <w:bCs w:val="1"/>
                <w:i w:val="1"/>
                <w:iCs w:val="1"/>
                <w:color w:val="000000"/>
                <w:sz w:val="20"/>
                <w:szCs w:val="20"/>
                <w:rtl w:val="0"/>
              </w:rPr>
              <w:t xml:space="preserve">Riwayat Artikel:</w:t>
            </w:r>
          </w:p>
          <w:p w:rsidR="00000000" w:rsidDel="00000000" w:rsidP="00000000" w:rsidRDefault="00000000" w:rsidRPr="00000000" w14:paraId="000000BB">
            <w:pPr>
              <w:pBdr>
                <w:top w:space="0" w:sz="0" w:val="nil"/>
                <w:left w:space="0" w:sz="0" w:val="nil"/>
                <w:bottom w:space="0" w:sz="0" w:val="nil"/>
                <w:right w:space="0" w:sz="0" w:val="nil"/>
                <w:between w:space="0" w:sz="0" w:val="nil"/>
              </w:pBdr>
              <w:rPr>
                <w:i w:val="1"/>
                <w:iCs w:val="1"/>
                <w:color w:val="000000"/>
                <w:sz w:val="20"/>
                <w:szCs w:val="20"/>
              </w:rPr>
            </w:pPr>
            <w:r w:rsidDel="00000000" w:rsidR="00000000" w:rsidRPr="00000000">
              <w:rPr>
                <w:i w:val="1"/>
                <w:iCs w:val="1"/>
                <w:color w:val="000000"/>
                <w:sz w:val="20"/>
                <w:szCs w:val="20"/>
                <w:rtl w:val="0"/>
              </w:rPr>
              <w:t xml:space="preserve">Received </w:t>
            </w:r>
          </w:p>
          <w:p w:rsidR="00000000" w:rsidDel="00000000" w:rsidP="00000000" w:rsidRDefault="00000000" w:rsidRPr="00000000" w14:paraId="000000BC">
            <w:pPr>
              <w:pBdr>
                <w:top w:space="0" w:sz="0" w:val="nil"/>
                <w:left w:space="0" w:sz="0" w:val="nil"/>
                <w:bottom w:space="0" w:sz="0" w:val="nil"/>
                <w:right w:space="0" w:sz="0" w:val="nil"/>
                <w:between w:space="0" w:sz="0" w:val="nil"/>
              </w:pBdr>
              <w:rPr>
                <w:i w:val="1"/>
                <w:iCs w:val="1"/>
                <w:color w:val="000000"/>
                <w:sz w:val="20"/>
                <w:szCs w:val="20"/>
              </w:rPr>
            </w:pPr>
            <w:r w:rsidDel="00000000" w:rsidR="00000000" w:rsidRPr="00000000">
              <w:rPr>
                <w:i w:val="1"/>
                <w:iCs w:val="1"/>
                <w:color w:val="000000"/>
                <w:sz w:val="20"/>
                <w:szCs w:val="20"/>
                <w:rtl w:val="0"/>
              </w:rPr>
              <w:t xml:space="preserve">Revised </w:t>
            </w:r>
          </w:p>
          <w:p w:rsidR="00000000" w:rsidDel="00000000" w:rsidP="00000000" w:rsidRDefault="00000000" w:rsidRPr="00000000" w14:paraId="000000BD">
            <w:pPr>
              <w:pBdr>
                <w:top w:space="0" w:sz="0" w:val="nil"/>
                <w:left w:space="0" w:sz="0" w:val="nil"/>
                <w:bottom w:space="0" w:sz="0" w:val="nil"/>
                <w:right w:space="0" w:sz="0" w:val="nil"/>
                <w:between w:space="0" w:sz="0" w:val="nil"/>
              </w:pBdr>
              <w:rPr>
                <w:i w:val="1"/>
                <w:iCs w:val="1"/>
                <w:color w:val="000000"/>
                <w:sz w:val="20"/>
                <w:szCs w:val="20"/>
              </w:rPr>
            </w:pPr>
            <w:r w:rsidDel="00000000" w:rsidR="00000000" w:rsidRPr="00000000">
              <w:rPr>
                <w:i w:val="1"/>
                <w:iCs w:val="1"/>
                <w:color w:val="000000"/>
                <w:sz w:val="20"/>
                <w:szCs w:val="20"/>
                <w:rtl w:val="0"/>
              </w:rPr>
              <w:t xml:space="preserve">Accepted </w:t>
            </w:r>
          </w:p>
          <w:p w:rsidR="00000000" w:rsidDel="00000000" w:rsidP="00000000" w:rsidRDefault="00000000" w:rsidRPr="00000000" w14:paraId="000000BE">
            <w:pPr>
              <w:pBdr>
                <w:top w:space="0" w:sz="0" w:val="nil"/>
                <w:left w:space="0" w:sz="0" w:val="nil"/>
                <w:bottom w:space="0" w:sz="0" w:val="nil"/>
                <w:right w:space="0" w:sz="0" w:val="nil"/>
                <w:between w:space="0" w:sz="0" w:val="nil"/>
              </w:pBdr>
              <w:rPr>
                <w:i w:val="1"/>
                <w:iCs w:val="1"/>
                <w:color w:val="000000"/>
                <w:sz w:val="20"/>
                <w:szCs w:val="2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rPr>
                <w:color w:val="000000"/>
                <w:sz w:val="20"/>
                <w:szCs w:val="20"/>
              </w:rPr>
            </w:pPr>
            <w:r w:rsidDel="00000000" w:rsidR="00000000" w:rsidRPr="00000000">
              <w:rPr>
                <w:b w:val="1"/>
                <w:bCs w:val="1"/>
                <w:i w:val="1"/>
                <w:iCs w:val="1"/>
                <w:color w:val="000000"/>
                <w:sz w:val="20"/>
                <w:szCs w:val="20"/>
                <w:rtl w:val="0"/>
              </w:rPr>
              <w:t xml:space="preserve">Keywords:</w:t>
            </w:r>
            <w:r w:rsidDel="00000000" w:rsidR="00000000" w:rsidRPr="00000000">
              <w:rPr>
                <w:color w:val="000000"/>
                <w:sz w:val="20"/>
                <w:szCs w:val="20"/>
                <w:rtl w:val="0"/>
              </w:rPr>
              <w:t xml:space="preserve"> </w:t>
            </w:r>
          </w:p>
          <w:p w:rsidR="00000000" w:rsidDel="00000000" w:rsidP="00000000" w:rsidRDefault="00000000" w:rsidRPr="00000000" w14:paraId="000000C0">
            <w:pPr>
              <w:pBdr>
                <w:top w:space="0" w:sz="0" w:val="nil"/>
                <w:left w:space="0" w:sz="0" w:val="nil"/>
                <w:bottom w:space="0" w:sz="0" w:val="nil"/>
                <w:right w:space="0" w:sz="0" w:val="nil"/>
                <w:between w:space="0" w:sz="0" w:val="nil"/>
              </w:pBdr>
              <w:rPr>
                <w:i w:val="1"/>
                <w:iCs w:val="1"/>
                <w:color w:val="000000"/>
                <w:sz w:val="20"/>
                <w:szCs w:val="20"/>
              </w:rPr>
            </w:pPr>
            <w:r w:rsidDel="00000000" w:rsidR="00000000" w:rsidRPr="00000000">
              <w:rPr>
                <w:i w:val="1"/>
                <w:iCs w:val="1"/>
                <w:color w:val="000000"/>
                <w:sz w:val="20"/>
                <w:szCs w:val="20"/>
                <w:rtl w:val="0"/>
              </w:rPr>
              <w:t xml:space="preserve">fiscal policy, development sovereignty, fiscal sustainability, inclusive growth</w:t>
            </w:r>
          </w:p>
          <w:p w:rsidR="00000000" w:rsidDel="00000000" w:rsidP="00000000" w:rsidRDefault="00000000" w:rsidRPr="00000000" w14:paraId="000000C1">
            <w:pPr>
              <w:pBdr>
                <w:top w:space="0" w:sz="0" w:val="nil"/>
                <w:left w:space="0" w:sz="0" w:val="nil"/>
                <w:bottom w:space="0" w:sz="0" w:val="nil"/>
                <w:right w:space="0" w:sz="0" w:val="nil"/>
                <w:between w:space="0" w:sz="0" w:val="nil"/>
              </w:pBdr>
              <w:jc w:val="both"/>
              <w:rPr>
                <w:i w:val="1"/>
                <w:iCs w:val="1"/>
                <w:color w:val="000000"/>
                <w:sz w:val="20"/>
                <w:szCs w:val="2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jc w:val="both"/>
              <w:rPr>
                <w:i w:val="1"/>
                <w:iCs w:val="1"/>
                <w:color w:val="000000"/>
                <w:sz w:val="20"/>
                <w:szCs w:val="2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jc w:val="both"/>
              <w:rPr>
                <w:i w:val="1"/>
                <w:iCs w:val="1"/>
                <w:color w:val="000000"/>
                <w:sz w:val="20"/>
                <w:szCs w:val="20"/>
              </w:rPr>
            </w:pPr>
            <w:r w:rsidDel="00000000" w:rsidR="00000000" w:rsidRPr="00000000">
              <w:rPr>
                <w:b w:val="1"/>
                <w:bCs w:val="1"/>
                <w:i w:val="1"/>
                <w:iCs w:val="1"/>
                <w:color w:val="000000"/>
                <w:sz w:val="20"/>
                <w:szCs w:val="20"/>
                <w:rtl w:val="0"/>
              </w:rPr>
              <w:t xml:space="preserve">Kata Kunci:</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rPr>
                <w:i w:val="1"/>
                <w:iCs w:val="1"/>
                <w:color w:val="000000"/>
                <w:sz w:val="20"/>
                <w:szCs w:val="20"/>
              </w:rPr>
            </w:pPr>
            <w:r w:rsidDel="00000000" w:rsidR="00000000" w:rsidRPr="00000000">
              <w:rPr>
                <w:i w:val="1"/>
                <w:iCs w:val="1"/>
                <w:color w:val="000000"/>
                <w:sz w:val="20"/>
                <w:szCs w:val="20"/>
                <w:rtl w:val="0"/>
              </w:rPr>
              <w:t xml:space="preserve">kebijakan fiskal, kedaulatan pembangunan, keberlanjutan fiskal,  pertumbuhan inklusif</w:t>
            </w:r>
          </w:p>
          <w:p w:rsidR="00000000" w:rsidDel="00000000" w:rsidP="00000000" w:rsidRDefault="00000000" w:rsidRPr="00000000" w14:paraId="000000C5">
            <w:pPr>
              <w:pBdr>
                <w:top w:space="0" w:sz="0" w:val="nil"/>
                <w:left w:space="0" w:sz="0" w:val="nil"/>
                <w:bottom w:space="0" w:sz="0" w:val="nil"/>
                <w:right w:space="0" w:sz="0" w:val="nil"/>
                <w:between w:space="0" w:sz="0" w:val="nil"/>
              </w:pBdr>
              <w:jc w:val="both"/>
              <w:rPr>
                <w:rFonts w:ascii="Book Antiqua" w:cs="Book Antiqua" w:eastAsia="Book Antiqua" w:hAnsi="Book Antiqua"/>
                <w:i w:val="1"/>
                <w:iCs w:val="1"/>
                <w:color w:val="000000"/>
                <w:sz w:val="18"/>
                <w:szCs w:val="18"/>
              </w:rPr>
            </w:pPr>
            <w:r w:rsidDel="00000000" w:rsidR="00000000" w:rsidRPr="00000000">
              <w:rPr>
                <w:rtl w:val="0"/>
              </w:rPr>
            </w:r>
          </w:p>
        </w:tc>
        <w:tc>
          <w:tcPr/>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120" w:lineRule="auto"/>
              <w:jc w:val="both"/>
              <w:rPr>
                <w:smallCaps w:val="1"/>
                <w:color w:val="000000"/>
                <w:sz w:val="22"/>
                <w:szCs w:val="22"/>
              </w:rPr>
            </w:pPr>
            <w:r w:rsidDel="00000000" w:rsidR="00000000" w:rsidRPr="00000000">
              <w:rPr>
                <w:rtl w:val="0"/>
              </w:rPr>
            </w:r>
          </w:p>
        </w:tc>
        <w:tc>
          <w:tcPr/>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120" w:lineRule="auto"/>
              <w:jc w:val="both"/>
              <w:rPr>
                <w:smallCaps w:val="1"/>
                <w:color w:val="000000"/>
                <w:sz w:val="22"/>
                <w:szCs w:val="22"/>
              </w:rPr>
            </w:pPr>
            <w:r w:rsidDel="00000000" w:rsidR="00000000" w:rsidRPr="00000000">
              <w:rPr>
                <w:smallCaps w:val="1"/>
                <w:color w:val="000000"/>
                <w:sz w:val="22"/>
                <w:szCs w:val="22"/>
                <w:rtl w:val="0"/>
              </w:rPr>
              <w:t xml:space="preserve">ABSTRACT</w:t>
            </w:r>
          </w:p>
          <w:p w:rsidR="00000000" w:rsidDel="00000000" w:rsidP="00000000" w:rsidRDefault="00000000" w:rsidRPr="00000000" w14:paraId="000000C8">
            <w:pPr>
              <w:spacing w:after="120" w:before="120" w:line="276" w:lineRule="auto"/>
              <w:jc w:val="both"/>
              <w:rPr>
                <w:i w:val="1"/>
                <w:iCs w:val="1"/>
                <w:sz w:val="20"/>
                <w:szCs w:val="20"/>
              </w:rPr>
            </w:pPr>
            <w:r w:rsidDel="00000000" w:rsidR="00000000" w:rsidRPr="00000000">
              <w:rPr>
                <w:i w:val="1"/>
                <w:iCs w:val="1"/>
                <w:sz w:val="20"/>
                <w:szCs w:val="20"/>
                <w:rtl w:val="0"/>
              </w:rPr>
              <w:t xml:space="preserve">This study examines the transformation of Indonesia’s fiscal policy direction during the 2024–2026 period in the post COVID-19 transition phase. This shift reflects a paradigm change from a counter-cyclical recovery policy toward fiscal governance oriented toward national development and sovereignty. The research employs a qualitative–descriptive and comparative approach through document analysis of Informasi APBN 2024–2025 and the 2026 Draft State Budget (RAPBN) issued by the Ministry of Finance of the Republic of Indonesia. The findings reveal a structural transformation in fiscal policy, marked by maintaining the deficit below 3 percent of GDP, implementing tax reform and digitalization, and reallocating public expenditure toward productive sectors such as education, health, green energy, and food security. Based on Musgrave’s (1959) theory, fiscal functions evolved from stabilizing to allocative and distributive. The results indicate growing maturity in adaptive fiscal governance. This study contributes empirically to the literature on fiscal governance in developing countries.</w:t>
            </w:r>
          </w:p>
        </w:tc>
      </w:tr>
      <w:tr>
        <w:trPr>
          <w:cantSplit w:val="0"/>
          <w:tblHeader w:val="0"/>
        </w:trPr>
        <w:tc>
          <w:tcPr>
            <w:vMerge w:val="continue"/>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0"/>
                <w:szCs w:val="20"/>
              </w:rPr>
            </w:pPr>
            <w:r w:rsidDel="00000000" w:rsidR="00000000" w:rsidRPr="00000000">
              <w:rPr>
                <w:rtl w:val="0"/>
              </w:rPr>
            </w:r>
          </w:p>
        </w:tc>
        <w:tc>
          <w:tcPr/>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120" w:lineRule="auto"/>
              <w:jc w:val="both"/>
              <w:rPr>
                <w:smallCaps w:val="1"/>
                <w:color w:val="000000"/>
                <w:sz w:val="22"/>
                <w:szCs w:val="22"/>
              </w:rPr>
            </w:pPr>
            <w:r w:rsidDel="00000000" w:rsidR="00000000" w:rsidRPr="00000000">
              <w:rPr>
                <w:rtl w:val="0"/>
              </w:rPr>
            </w:r>
          </w:p>
        </w:tc>
        <w:tc>
          <w:tcPr/>
          <w:p w:rsidR="00000000" w:rsidDel="00000000" w:rsidP="00000000" w:rsidRDefault="00000000" w:rsidRPr="00000000" w14:paraId="000000CB">
            <w:pPr>
              <w:pBdr>
                <w:top w:space="0" w:sz="0" w:val="nil"/>
                <w:left w:space="0" w:sz="0" w:val="nil"/>
                <w:bottom w:space="0" w:sz="0" w:val="nil"/>
                <w:right w:space="0" w:sz="0" w:val="nil"/>
                <w:between w:space="0" w:sz="0" w:val="nil"/>
              </w:pBdr>
              <w:jc w:val="both"/>
              <w:rPr>
                <w:rFonts w:ascii="Book Antiqua" w:cs="Book Antiqua" w:eastAsia="Book Antiqua" w:hAnsi="Book Antiqua"/>
                <w:i w:val="1"/>
                <w:iCs w:val="1"/>
                <w:color w:val="000000"/>
                <w:sz w:val="18"/>
                <w:szCs w:val="18"/>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120" w:lineRule="auto"/>
              <w:jc w:val="both"/>
              <w:rPr>
                <w:smallCaps w:val="1"/>
                <w:color w:val="000000"/>
                <w:sz w:val="22"/>
                <w:szCs w:val="22"/>
              </w:rPr>
            </w:pPr>
            <w:r w:rsidDel="00000000" w:rsidR="00000000" w:rsidRPr="00000000">
              <w:rPr>
                <w:smallCaps w:val="1"/>
                <w:color w:val="000000"/>
                <w:sz w:val="22"/>
                <w:szCs w:val="22"/>
                <w:rtl w:val="0"/>
              </w:rPr>
              <w:t xml:space="preserve">ABSTRAK</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Penelitian ini menelaah transformasi arah kebijakan fiskal Indonesia periode 2024–2026 dalam masa transisi pasca-pandemi COVID-19. Pergeseran ini mencerminkan perubahan paradigma dari kebijakan pemulihan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counter-cyclical</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menuju tata kelola fiskal yang berorientasi pada pembangunan dan kedaulatan nasional. Metode penelitian menggunakan pendekatan kualitatif-deskriptif komparatif melalui analisis dokumen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Informasi APBN</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2024–2025 dan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RAPBN</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2026 yang diterbitkan Kementerian Keuangan Republik Indonesia. Hasil penelitian menunjukkan transformasi struktural kebijakan fiskal yang ditandai oleh disiplin defisit di bawah 3 persen PDB, reformasi dan digitalisasi perpajakan, serta pergeseran belanja publik ke sektor produktif seperti pendidikan, kesehatan, energi hijau, dan ketahanan pangan. Berdasarkan teori Musgrave (1959), fungsi fiskal berevolusi dari stabilisatif ke alokatif dan distributif. Temuan ini menegaskan kematangan tata kelola fiskal adaptif yang menyeimbangkan stabilitas makro, pembangunan berkelanjutan, dan kemandirian ekonomi. Penelitian ini memberikan kontribusi empiris bagi penguatan literatur tentang tata kelola fiskal di negara berkembang.</w:t>
            </w:r>
          </w:p>
          <w:p w:rsidR="00000000" w:rsidDel="00000000" w:rsidP="00000000" w:rsidRDefault="00000000" w:rsidRPr="00000000" w14:paraId="000000C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c>
      </w:tr>
    </w:tbl>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120" w:before="120" w:line="276" w:lineRule="auto"/>
        <w:ind w:left="289" w:hanging="289"/>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PENDAHULUAN</w:t>
      </w:r>
    </w:p>
    <w:p w:rsidR="00000000" w:rsidDel="00000000" w:rsidP="00000000" w:rsidRDefault="00000000" w:rsidRPr="00000000" w14:paraId="000000D0">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Lanskap ekonomi global pasca-pandemi COVID-19, dinamika geopolitik, disrupsi rantai pasok, serta fragmentasi perdagangan internasional masih menjadi tantangan utama bagi stabilitas makroekonomi dunia </w:t>
      </w:r>
      <w:sdt>
        <w:sdtPr>
          <w:id w:val="-1039867635"/>
          <w:tag w:val="goog_rdk_0"/>
        </w:sdtPr>
        <w:sdtContent>
          <w:commentRangeStart w:id="0"/>
        </w:sdtContent>
      </w:sdt>
      <w:sdt>
        <w:sdtPr>
          <w:id w:val="709513398"/>
          <w:tag w:val="goog_rdk_1"/>
        </w:sdtPr>
        <w:sdtContent>
          <w:commentRangeStart w:id="1"/>
        </w:sdtContent>
      </w:sdt>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Gayathri et al., 2024; Yoganandham, 2024</w:t>
      </w:r>
      <w:r w:rsidDel="00000000" w:rsidR="00000000" w:rsidRPr="00000000">
        <w:rPr>
          <w:rFonts w:ascii="Times New Roman" w:cs="Times New Roman" w:eastAsia="Times New Roman" w:hAnsi="Times New Roman"/>
          <w:rtl w:val="0"/>
        </w:rPr>
        <w:t xml:space="preserve">)</w:t>
      </w:r>
      <w:commentRangeEnd w:id="0"/>
      <w:r w:rsidDel="00000000" w:rsidR="00000000" w:rsidRPr="00000000">
        <w:commentReference w:id="0"/>
      </w:r>
      <w:commentRangeEnd w:id="1"/>
      <w:r w:rsidDel="00000000" w:rsidR="00000000" w:rsidRPr="00000000">
        <w:commentReference w:id="1"/>
      </w:r>
      <w:r w:rsidDel="00000000" w:rsidR="00000000" w:rsidRPr="00000000">
        <w:rPr>
          <w:rFonts w:ascii="Times New Roman" w:cs="Times New Roman" w:eastAsia="Times New Roman" w:hAnsi="Times New Roman"/>
          <w:rtl w:val="0"/>
        </w:rPr>
        <w:t xml:space="preserve">. International Monetary Fund (IMF, </w:t>
      </w:r>
      <w:r w:rsidDel="00000000" w:rsidR="00000000" w:rsidRPr="00000000">
        <w:rPr>
          <w:rFonts w:ascii="Times New Roman" w:cs="Times New Roman" w:eastAsia="Times New Roman" w:hAnsi="Times New Roman"/>
          <w:i w:val="1"/>
          <w:iCs w:val="1"/>
          <w:rtl w:val="0"/>
        </w:rPr>
        <w:t xml:space="preserve">World Economic Outlook</w:t>
      </w:r>
      <w:r w:rsidDel="00000000" w:rsidR="00000000" w:rsidRPr="00000000">
        <w:rPr>
          <w:rFonts w:ascii="Times New Roman" w:cs="Times New Roman" w:eastAsia="Times New Roman" w:hAnsi="Times New Roman"/>
          <w:rtl w:val="0"/>
        </w:rPr>
        <w:t xml:space="preserve">, 2025) memperkirakan pertumbuhan ekonomi global hanya berkisar 3,0–3,1 persen dalam dua tahun terakhir, mencerminkan pemulihan yang belum merata dan tekanan struktural pada sistem perdagangan multilateral (</w:t>
      </w:r>
      <w:r w:rsidDel="00000000" w:rsidR="00000000" w:rsidRPr="00000000">
        <w:rPr>
          <w:rFonts w:ascii="Times New Roman" w:cs="Times New Roman" w:eastAsia="Times New Roman" w:hAnsi="Times New Roman"/>
          <w:color w:val="000000"/>
          <w:rtl w:val="0"/>
        </w:rPr>
        <w:t xml:space="preserve">Luong et al., 2025</w:t>
      </w:r>
      <w:r w:rsidDel="00000000" w:rsidR="00000000" w:rsidRPr="00000000">
        <w:rPr>
          <w:rFonts w:ascii="Times New Roman" w:cs="Times New Roman" w:eastAsia="Times New Roman" w:hAnsi="Times New Roman"/>
          <w:rtl w:val="0"/>
        </w:rPr>
        <w:t xml:space="preserve">). Kebijakan fiskal Indonesia menunjukkan dinamika yang menonjol baik dalam orientasi, struktur, maupun prioritas pembangunan. </w:t>
      </w:r>
    </w:p>
    <w:p w:rsidR="00000000" w:rsidDel="00000000" w:rsidP="00000000" w:rsidRDefault="00000000" w:rsidRPr="00000000" w14:paraId="000000D1">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Dalam konteks ini, kebijakan fiskal menjadi instrumen utama yang diandalkan berbagai negara untuk menjaga daya tahan ekonomi, melindungi kelompok rentan, serta mendorong pertumbuhan jangka menengah melalui investasi publik yang produktif (</w:t>
      </w:r>
      <w:r w:rsidDel="00000000" w:rsidR="00000000" w:rsidRPr="00000000">
        <w:rPr>
          <w:rFonts w:ascii="Times New Roman" w:cs="Times New Roman" w:eastAsia="Times New Roman" w:hAnsi="Times New Roman"/>
          <w:color w:val="000000"/>
          <w:rtl w:val="0"/>
        </w:rPr>
        <w:t xml:space="preserve">Ekasari et al., 2025; Touat, 2024</w:t>
      </w:r>
      <w:r w:rsidDel="00000000" w:rsidR="00000000" w:rsidRPr="00000000">
        <w:rPr>
          <w:rFonts w:ascii="Times New Roman" w:cs="Times New Roman" w:eastAsia="Times New Roman" w:hAnsi="Times New Roman"/>
          <w:rtl w:val="0"/>
        </w:rPr>
        <w:t xml:space="preserve">). Indonesia, sebagai salah satu ekonomi terbesar di Asia Tenggara dan anggota G20, menghadapi tantangan serupa untuk menyeimbangkan antara stabilitas fiskal dan percepatan pembangunan ekonomi </w:t>
      </w:r>
      <w:r w:rsidDel="00000000" w:rsidR="00000000" w:rsidRPr="00000000">
        <w:rPr>
          <w:rFonts w:ascii="Times New Roman" w:cs="Times New Roman" w:eastAsia="Times New Roman" w:hAnsi="Times New Roman"/>
          <w:color w:val="000000"/>
          <w:rtl w:val="0"/>
        </w:rPr>
        <w:t xml:space="preserve">(Anugrah et al., 2024; Indrawati et al., 2024; Yunita Ulani &amp; Aprirachman, 2025)</w:t>
      </w:r>
      <w:r w:rsidDel="00000000" w:rsidR="00000000" w:rsidRPr="00000000">
        <w:rPr>
          <w:rFonts w:ascii="Times New Roman" w:cs="Times New Roman" w:eastAsia="Times New Roman" w:hAnsi="Times New Roman"/>
          <w:rtl w:val="0"/>
        </w:rPr>
        <w:t xml:space="preserve">. Sejak masa pandemi, Anggaran Pendapatan dan Belanja Negara (APBN) berperan sebagai </w:t>
      </w:r>
      <w:r w:rsidDel="00000000" w:rsidR="00000000" w:rsidRPr="00000000">
        <w:rPr>
          <w:rFonts w:ascii="Times New Roman" w:cs="Times New Roman" w:eastAsia="Times New Roman" w:hAnsi="Times New Roman"/>
          <w:i w:val="1"/>
          <w:iCs w:val="1"/>
          <w:rtl w:val="0"/>
        </w:rPr>
        <w:t xml:space="preserve">shock absorber</w:t>
      </w:r>
      <w:r w:rsidDel="00000000" w:rsidR="00000000" w:rsidRPr="00000000">
        <w:rPr>
          <w:rFonts w:ascii="Times New Roman" w:cs="Times New Roman" w:eastAsia="Times New Roman" w:hAnsi="Times New Roman"/>
          <w:rtl w:val="0"/>
        </w:rPr>
        <w:t xml:space="preserve"> yang efektif dalam menjaga daya beli masyarakat dan menopang pemulihan ekonomi nasional </w:t>
      </w:r>
      <w:r w:rsidDel="00000000" w:rsidR="00000000" w:rsidRPr="00000000">
        <w:rPr>
          <w:rFonts w:ascii="Times New Roman" w:cs="Times New Roman" w:eastAsia="Times New Roman" w:hAnsi="Times New Roman"/>
          <w:color w:val="000000"/>
          <w:rtl w:val="0"/>
        </w:rPr>
        <w:t xml:space="preserve">(Kacaribu &amp; Crystallin, 2025)</w:t>
      </w:r>
      <w:r w:rsidDel="00000000" w:rsidR="00000000" w:rsidRPr="00000000">
        <w:rPr>
          <w:rFonts w:ascii="Times New Roman" w:cs="Times New Roman" w:eastAsia="Times New Roman" w:hAnsi="Times New Roman"/>
          <w:rtl w:val="0"/>
        </w:rPr>
        <w:t xml:space="preserve">). Namun, memasuki periode pasca-pandemi, fungsi APBN mengalami reposisi strategis dari sekadar alat stabilisasi menjadi instrumen pembangunan berkelanjutan </w:t>
      </w:r>
      <w:r w:rsidDel="00000000" w:rsidR="00000000" w:rsidRPr="00000000">
        <w:rPr>
          <w:rFonts w:ascii="Times New Roman" w:cs="Times New Roman" w:eastAsia="Times New Roman" w:hAnsi="Times New Roman"/>
          <w:color w:val="000000"/>
          <w:rtl w:val="0"/>
        </w:rPr>
        <w:t xml:space="preserve">(Indrawati et al., 2024; Judijanto &amp; Muthalib, 2025)</w:t>
      </w:r>
      <w:r w:rsidDel="00000000" w:rsidR="00000000" w:rsidRPr="00000000">
        <w:rPr>
          <w:rtl w:val="0"/>
        </w:rPr>
      </w:r>
    </w:p>
    <w:p w:rsidR="00000000" w:rsidDel="00000000" w:rsidP="00000000" w:rsidRDefault="00000000" w:rsidRPr="00000000" w14:paraId="000000D2">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Pemerintah mulai menata kembali ruang fiskal dengan menjaga defisit di bawah 3 persen terhadap Produk Domestik Bruto (PDB) sesuai amanat Undang-Undang Keuangan Negara </w:t>
      </w:r>
      <w:r w:rsidDel="00000000" w:rsidR="00000000" w:rsidRPr="00000000">
        <w:rPr>
          <w:rFonts w:ascii="Times New Roman" w:cs="Times New Roman" w:eastAsia="Times New Roman" w:hAnsi="Times New Roman"/>
          <w:color w:val="000000"/>
          <w:rtl w:val="0"/>
        </w:rPr>
        <w:t xml:space="preserve">(Khairi, 2024)</w:t>
      </w:r>
      <w:r w:rsidDel="00000000" w:rsidR="00000000" w:rsidRPr="00000000">
        <w:rPr>
          <w:rFonts w:ascii="Times New Roman" w:cs="Times New Roman" w:eastAsia="Times New Roman" w:hAnsi="Times New Roman"/>
          <w:rtl w:val="0"/>
        </w:rPr>
        <w:t xml:space="preserve">. Pada saat yang sama, arah kebijakan fiskal didorong untuk memperbesar porsi belanja produktif di bidang pendidikan, kesehatan, infrastruktur, dan energi terbarukan, guna memperkuat pondasi pertumbuhan jangka panjang </w:t>
      </w:r>
      <w:r w:rsidDel="00000000" w:rsidR="00000000" w:rsidRPr="00000000">
        <w:rPr>
          <w:rFonts w:ascii="Times New Roman" w:cs="Times New Roman" w:eastAsia="Times New Roman" w:hAnsi="Times New Roman"/>
          <w:color w:val="000000"/>
          <w:rtl w:val="0"/>
        </w:rPr>
        <w:t xml:space="preserve">(Gamal et al., 2024; Mahira &amp; Karjoko, 2024; Trisnantoro, 2022)</w:t>
      </w:r>
      <w:r w:rsidDel="00000000" w:rsidR="00000000" w:rsidRPr="00000000">
        <w:rPr>
          <w:rFonts w:ascii="Times New Roman" w:cs="Times New Roman" w:eastAsia="Times New Roman" w:hAnsi="Times New Roman"/>
          <w:rtl w:val="0"/>
        </w:rPr>
        <w:t xml:space="preserve">. Reposisi tersebut menandai kembalinya disiplin fiskal yang tetap ekspansif namun terukur (</w:t>
      </w:r>
      <w:r w:rsidDel="00000000" w:rsidR="00000000" w:rsidRPr="00000000">
        <w:rPr>
          <w:rFonts w:ascii="Times New Roman" w:cs="Times New Roman" w:eastAsia="Times New Roman" w:hAnsi="Times New Roman"/>
          <w:i w:val="1"/>
          <w:iCs w:val="1"/>
          <w:rtl w:val="0"/>
        </w:rPr>
        <w:t xml:space="preserve">expansionary yet prudent</w:t>
      </w:r>
      <w:r w:rsidDel="00000000" w:rsidR="00000000" w:rsidRPr="00000000">
        <w:rPr>
          <w:rFonts w:ascii="Times New Roman" w:cs="Times New Roman" w:eastAsia="Times New Roman" w:hAnsi="Times New Roman"/>
          <w:rtl w:val="0"/>
        </w:rPr>
        <w:t xml:space="preserve">), di mana kebijakan fiskal diarahkan untuk mendukung transformasi ekonomi berkelanjutan dan mencapai </w:t>
      </w:r>
      <w:r w:rsidDel="00000000" w:rsidR="00000000" w:rsidRPr="00000000">
        <w:rPr>
          <w:rFonts w:ascii="Times New Roman" w:cs="Times New Roman" w:eastAsia="Times New Roman" w:hAnsi="Times New Roman"/>
          <w:i w:val="1"/>
          <w:iCs w:val="1"/>
          <w:rtl w:val="0"/>
        </w:rPr>
        <w:t xml:space="preserve">Sustainable Development Goals</w:t>
      </w:r>
      <w:r w:rsidDel="00000000" w:rsidR="00000000" w:rsidRPr="00000000">
        <w:rPr>
          <w:rFonts w:ascii="Times New Roman" w:cs="Times New Roman" w:eastAsia="Times New Roman" w:hAnsi="Times New Roman"/>
          <w:rtl w:val="0"/>
        </w:rPr>
        <w:t xml:space="preserve"> (SDGs) nasional (</w:t>
      </w:r>
      <w:r w:rsidDel="00000000" w:rsidR="00000000" w:rsidRPr="00000000">
        <w:rPr>
          <w:rFonts w:ascii="Times New Roman" w:cs="Times New Roman" w:eastAsia="Times New Roman" w:hAnsi="Times New Roman"/>
          <w:color w:val="000000"/>
          <w:rtl w:val="0"/>
        </w:rPr>
        <w:t xml:space="preserve">Hidayat et al., 2021; Yunita Ulani &amp; Aprirachman, 2025).</w:t>
      </w:r>
      <w:r w:rsidDel="00000000" w:rsidR="00000000" w:rsidRPr="00000000">
        <w:rPr>
          <w:rtl w:val="0"/>
        </w:rPr>
      </w:r>
    </w:p>
    <w:p w:rsidR="00000000" w:rsidDel="00000000" w:rsidP="00000000" w:rsidRDefault="00000000" w:rsidRPr="00000000" w14:paraId="000000D3">
      <w:pPr>
        <w:spacing w:after="120" w:before="120" w:line="276" w:lineRule="auto"/>
        <w:ind w:firstLine="720"/>
        <w:jc w:val="both"/>
        <w:rPr>
          <w:rFonts w:ascii="Times New Roman" w:cs="Times New Roman" w:eastAsia="Times New Roman" w:hAnsi="Times New Roman"/>
          <w:color w:val="ff0000"/>
        </w:rPr>
      </w:pPr>
      <w:sdt>
        <w:sdtPr>
          <w:id w:val="-654847889"/>
          <w:tag w:val="goog_rdk_2"/>
        </w:sdtPr>
        <w:sdtContent>
          <w:commentRangeStart w:id="2"/>
        </w:sdtContent>
      </w:sdt>
      <w:sdt>
        <w:sdtPr>
          <w:id w:val="-628852036"/>
          <w:tag w:val="goog_rdk_3"/>
        </w:sdtPr>
        <w:sdtContent>
          <w:commentRangeStart w:id="3"/>
        </w:sdtContent>
      </w:sdt>
      <w:r w:rsidDel="00000000" w:rsidR="00000000" w:rsidRPr="00000000">
        <w:rPr>
          <w:rFonts w:ascii="Times New Roman" w:cs="Times New Roman" w:eastAsia="Times New Roman" w:hAnsi="Times New Roman"/>
          <w:rtl w:val="0"/>
        </w:rPr>
        <w:t xml:space="preserve">Periode 2024–2026 menjadi fase transisi penting dalam konsolidasi fiskal Indonesia, yang menandai perubahan orientasi dari penanganan krisis menuju pembangunan jangka panjang yang berkelanjutan</w:t>
      </w:r>
      <w:commentRangeEnd w:id="2"/>
      <w:r w:rsidDel="00000000" w:rsidR="00000000" w:rsidRPr="00000000">
        <w:commentReference w:id="2"/>
      </w:r>
      <w:commentRangeEnd w:id="3"/>
      <w:r w:rsidDel="00000000" w:rsidR="00000000" w:rsidRPr="00000000">
        <w:commentReference w:id="3"/>
      </w:r>
      <w:r w:rsidDel="00000000" w:rsidR="00000000" w:rsidRPr="00000000">
        <w:rPr>
          <w:rFonts w:ascii="Times New Roman" w:cs="Times New Roman" w:eastAsia="Times New Roman" w:hAnsi="Times New Roman"/>
          <w:rtl w:val="0"/>
        </w:rPr>
        <w:t xml:space="preserve">. Peralihan dari rezim kebijakan krisis menuju kerangka pembangunan jangka Panjang yang berkelanjutan. Dalam literatur ekonomi, masa transisi pasca-pandemi diakui sebagai </w:t>
      </w:r>
      <w:r w:rsidDel="00000000" w:rsidR="00000000" w:rsidRPr="00000000">
        <w:rPr>
          <w:rFonts w:ascii="Times New Roman" w:cs="Times New Roman" w:eastAsia="Times New Roman" w:hAnsi="Times New Roman"/>
          <w:i w:val="1"/>
          <w:iCs w:val="1"/>
          <w:rtl w:val="0"/>
        </w:rPr>
        <w:t xml:space="preserve">windows of restructuring</w:t>
      </w:r>
      <w:r w:rsidDel="00000000" w:rsidR="00000000" w:rsidRPr="00000000">
        <w:rPr>
          <w:rFonts w:ascii="Times New Roman" w:cs="Times New Roman" w:eastAsia="Times New Roman" w:hAnsi="Times New Roman"/>
          <w:rtl w:val="0"/>
        </w:rPr>
        <w:t xml:space="preserve">, yaitu fase ketika negara-negara mulai mengalihkan fokus dari </w:t>
      </w:r>
      <w:r w:rsidDel="00000000" w:rsidR="00000000" w:rsidRPr="00000000">
        <w:rPr>
          <w:rFonts w:ascii="Times New Roman" w:cs="Times New Roman" w:eastAsia="Times New Roman" w:hAnsi="Times New Roman"/>
          <w:i w:val="1"/>
          <w:iCs w:val="1"/>
          <w:rtl w:val="0"/>
        </w:rPr>
        <w:t xml:space="preserve">counter-cyclical stimulus</w:t>
      </w:r>
      <w:r w:rsidDel="00000000" w:rsidR="00000000" w:rsidRPr="00000000">
        <w:rPr>
          <w:rFonts w:ascii="Times New Roman" w:cs="Times New Roman" w:eastAsia="Times New Roman" w:hAnsi="Times New Roman"/>
          <w:rtl w:val="0"/>
        </w:rPr>
        <w:t xml:space="preserve"> menuju reformasi fiskal struktural yang lebih permanen guna memperkuat ketahanan fiskal dan memperluas ruang pembangunan </w:t>
      </w:r>
      <w:r w:rsidDel="00000000" w:rsidR="00000000" w:rsidRPr="00000000">
        <w:rPr>
          <w:rFonts w:ascii="Times New Roman" w:cs="Times New Roman" w:eastAsia="Times New Roman" w:hAnsi="Times New Roman"/>
          <w:color w:val="000000"/>
          <w:rtl w:val="0"/>
        </w:rPr>
        <w:t xml:space="preserve">(An, 2022; O’Reilly et al., 2020).</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Studi komparatif Asia menunjukkan bahwa periode pasca-pandemi merupakan momentum kritis bagi negara berkembang untuk menata ulang prioritas fiskal menuju transformasi hijau, digitalisasi, dan penguatan perlindungan sosial </w:t>
      </w:r>
      <w:r w:rsidDel="00000000" w:rsidR="00000000" w:rsidRPr="00000000">
        <w:rPr>
          <w:rFonts w:ascii="Times New Roman" w:cs="Times New Roman" w:eastAsia="Times New Roman" w:hAnsi="Times New Roman"/>
          <w:color w:val="000000"/>
          <w:rtl w:val="0"/>
        </w:rPr>
        <w:t xml:space="preserve">(Abdullah et al., 2023; Go et al., 2024).</w:t>
      </w:r>
      <w:r w:rsidDel="00000000" w:rsidR="00000000" w:rsidRPr="00000000">
        <w:rPr>
          <w:rtl w:val="0"/>
        </w:rPr>
      </w:r>
    </w:p>
    <w:p w:rsidR="00000000" w:rsidDel="00000000" w:rsidP="00000000" w:rsidRDefault="00000000" w:rsidRPr="00000000" w14:paraId="000000D4">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Dalam konteks Indonesia, transisi 2024–2026 memiliki bobot strategis karena bertepatan dengan berakhirnya fase </w:t>
      </w:r>
      <w:r w:rsidDel="00000000" w:rsidR="00000000" w:rsidRPr="00000000">
        <w:rPr>
          <w:rFonts w:ascii="Times New Roman" w:cs="Times New Roman" w:eastAsia="Times New Roman" w:hAnsi="Times New Roman"/>
          <w:i w:val="1"/>
          <w:iCs w:val="1"/>
          <w:rtl w:val="0"/>
        </w:rPr>
        <w:t xml:space="preserve">extraordinary fiscal measures</w:t>
      </w:r>
      <w:r w:rsidDel="00000000" w:rsidR="00000000" w:rsidRPr="00000000">
        <w:rPr>
          <w:rFonts w:ascii="Times New Roman" w:cs="Times New Roman" w:eastAsia="Times New Roman" w:hAnsi="Times New Roman"/>
          <w:rtl w:val="0"/>
        </w:rPr>
        <w:t xml:space="preserve"> era COVID-19, pemulihan disiplin defisit kembali ke batas 3 persen PDB, serta penyelarasan APBN dengan kerangka RPJPN 2025–2045. Literatur menegaskan bahwa konsolidasi fiskal yang dilakukan tepat pada fase transisi politik dan ekonomi memiliki dampak besar terhadap kredibilitas fiskal jangka menengah, stabilitas makro, dan persepsi risiko negara </w:t>
      </w:r>
      <w:r w:rsidDel="00000000" w:rsidR="00000000" w:rsidRPr="00000000">
        <w:rPr>
          <w:rFonts w:ascii="Times New Roman" w:cs="Times New Roman" w:eastAsia="Times New Roman" w:hAnsi="Times New Roman"/>
          <w:color w:val="000000"/>
          <w:rtl w:val="0"/>
        </w:rPr>
        <w:t xml:space="preserve">(Lami et al., 2021; Y. Yang et al., 2023).</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Pada saat yang sama, kebutuhan untuk mengalihkan orientasi fiskal dari </w:t>
      </w:r>
      <w:r w:rsidDel="00000000" w:rsidR="00000000" w:rsidRPr="00000000">
        <w:rPr>
          <w:rFonts w:ascii="Times New Roman" w:cs="Times New Roman" w:eastAsia="Times New Roman" w:hAnsi="Times New Roman"/>
          <w:i w:val="1"/>
          <w:iCs w:val="1"/>
          <w:rtl w:val="0"/>
        </w:rPr>
        <w:t xml:space="preserve">crisis management</w:t>
      </w:r>
      <w:r w:rsidDel="00000000" w:rsidR="00000000" w:rsidRPr="00000000">
        <w:rPr>
          <w:rFonts w:ascii="Times New Roman" w:cs="Times New Roman" w:eastAsia="Times New Roman" w:hAnsi="Times New Roman"/>
          <w:rtl w:val="0"/>
        </w:rPr>
        <w:t xml:space="preserve"> menuju </w:t>
      </w:r>
      <w:r w:rsidDel="00000000" w:rsidR="00000000" w:rsidRPr="00000000">
        <w:rPr>
          <w:rFonts w:ascii="Times New Roman" w:cs="Times New Roman" w:eastAsia="Times New Roman" w:hAnsi="Times New Roman"/>
          <w:i w:val="1"/>
          <w:iCs w:val="1"/>
          <w:rtl w:val="0"/>
        </w:rPr>
        <w:t xml:space="preserve">developmental fiscal policy</w:t>
      </w:r>
      <w:r w:rsidDel="00000000" w:rsidR="00000000" w:rsidRPr="00000000">
        <w:rPr>
          <w:rFonts w:ascii="Times New Roman" w:cs="Times New Roman" w:eastAsia="Times New Roman" w:hAnsi="Times New Roman"/>
          <w:rtl w:val="0"/>
        </w:rPr>
        <w:t xml:space="preserve"> sejalan dengan temuan akademik bahwa belanja produktif, investasi hijau, dan penguatan sistem perlindungan sosial merupakan fondasi pertumbuhan inklusif pasca-pandemi (</w:t>
      </w:r>
      <w:r w:rsidDel="00000000" w:rsidR="00000000" w:rsidRPr="00000000">
        <w:rPr>
          <w:rFonts w:ascii="Times New Roman" w:cs="Times New Roman" w:eastAsia="Times New Roman" w:hAnsi="Times New Roman"/>
          <w:color w:val="000000"/>
          <w:rtl w:val="0"/>
        </w:rPr>
        <w:t xml:space="preserve">Indrawati et al., 2024; Judijanto, 2025)</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5">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Beberapa penelitian memperkuat urgensi fase ini. Pemulihan Indonesia membutuhkan konsolidasi fiskal yang bersifat struktural, bukan sekadar respons jangka pendek </w:t>
      </w:r>
      <w:r w:rsidDel="00000000" w:rsidR="00000000" w:rsidRPr="00000000">
        <w:rPr>
          <w:rFonts w:ascii="Times New Roman" w:cs="Times New Roman" w:eastAsia="Times New Roman" w:hAnsi="Times New Roman"/>
          <w:color w:val="000000"/>
          <w:rtl w:val="0"/>
        </w:rPr>
        <w:t xml:space="preserve">(Ulani &amp; Aprirachman, 2025)</w:t>
      </w:r>
      <w:r w:rsidDel="00000000" w:rsidR="00000000" w:rsidRPr="00000000">
        <w:rPr>
          <w:rFonts w:ascii="Times New Roman" w:cs="Times New Roman" w:eastAsia="Times New Roman" w:hAnsi="Times New Roman"/>
          <w:rtl w:val="0"/>
        </w:rPr>
        <w:t xml:space="preserve">. Sementara itu, fungsi APBN sebagai stabilisator harus berkembang menjadi instrumen pembangunan sosial dan ekonomi </w:t>
      </w:r>
      <w:r w:rsidDel="00000000" w:rsidR="00000000" w:rsidRPr="00000000">
        <w:rPr>
          <w:rFonts w:ascii="Times New Roman" w:cs="Times New Roman" w:eastAsia="Times New Roman" w:hAnsi="Times New Roman"/>
          <w:color w:val="000000"/>
          <w:rtl w:val="0"/>
        </w:rPr>
        <w:t xml:space="preserve">(Mulyawan &amp; Alia, 2020)</w:t>
      </w:r>
      <w:r w:rsidDel="00000000" w:rsidR="00000000" w:rsidRPr="00000000">
        <w:rPr>
          <w:rFonts w:ascii="Times New Roman" w:cs="Times New Roman" w:eastAsia="Times New Roman" w:hAnsi="Times New Roman"/>
          <w:rtl w:val="0"/>
        </w:rPr>
        <w:t xml:space="preserve">. Dengan demikian, periode 2024–2026 bukan hanya masa transisi administratif, tetapi merupakan </w:t>
      </w:r>
      <w:r w:rsidDel="00000000" w:rsidR="00000000" w:rsidRPr="00000000">
        <w:rPr>
          <w:rFonts w:ascii="Times New Roman" w:cs="Times New Roman" w:eastAsia="Times New Roman" w:hAnsi="Times New Roman"/>
          <w:b w:val="1"/>
          <w:bCs w:val="1"/>
          <w:rtl w:val="0"/>
        </w:rPr>
        <w:t xml:space="preserve">titik balik paradigmatik</w:t>
      </w:r>
      <w:r w:rsidDel="00000000" w:rsidR="00000000" w:rsidRPr="00000000">
        <w:rPr>
          <w:rFonts w:ascii="Times New Roman" w:cs="Times New Roman" w:eastAsia="Times New Roman" w:hAnsi="Times New Roman"/>
          <w:rtl w:val="0"/>
        </w:rPr>
        <w:t xml:space="preserve"> ketika kebijakan fiskal Indonesia mulai menempatkan pembangunan inklusif, transformasi hijau, dan penguatan ketahanan nasional sebagai prioritas utama </w:t>
      </w:r>
      <w:r w:rsidDel="00000000" w:rsidR="00000000" w:rsidRPr="00000000">
        <w:rPr>
          <w:rFonts w:ascii="Times New Roman" w:cs="Times New Roman" w:eastAsia="Times New Roman" w:hAnsi="Times New Roman"/>
          <w:color w:val="000000"/>
          <w:rtl w:val="0"/>
        </w:rPr>
        <w:t xml:space="preserve">(Indrawati et al., 2024; Judijanto, 2025)</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907068453"/>
          <w:tag w:val="goog_rdk_4"/>
        </w:sdtPr>
        <w:sdtContent>
          <w:commentRangeStart w:id="4"/>
        </w:sdtContent>
      </w:sdt>
      <w:sdt>
        <w:sdtPr>
          <w:id w:val="-1100489944"/>
          <w:tag w:val="goog_rdk_5"/>
        </w:sdtPr>
        <w:sdtContent>
          <w:commentRangeStart w:id="5"/>
        </w:sdtContent>
      </w:s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Tema APBN </w:t>
      </w:r>
      <w:commentRangeEnd w:id="4"/>
      <w:r w:rsidDel="00000000" w:rsidR="00000000" w:rsidRPr="00000000">
        <w:commentReference w:id="4"/>
      </w:r>
      <w:commentRangeEnd w:id="5"/>
      <w:r w:rsidDel="00000000" w:rsidR="00000000" w:rsidRPr="00000000">
        <w:commentReference w:id="5"/>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2024, yaitu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“Mempercepat Transformasi Ekonomi yang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mencerminkan orientasi awal pemerintah dalam mengonsolidasikan kebijakan fiskal pasca-pandemi dengan menyeimbangkan stabilitas makro dan pemulihan sosial. Fokus kebijakan diarahkan pada pengendalian inflasi, penghapusan kemiskinan ekstrem, serta percepatan investasi produktif di sektor strategis seperti pendidikan dan infrastruktur berwawasan lingkungan (Kacaribu &amp; Crystallin, 2025).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Tahun 2024 menjadi pondasi penting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transisi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fiscal response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menuju kebijakan pembangunan yang lebih struktural.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Korelasi antara ketiga tahun fiskal tersebut dapat dilihat sebagai tahapan bertingkat dalam proses transformasi fiskal Indonesia pasca-COVID-19.</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Pada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APBN 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“Akselerasi Pertumbuhan Ekonomi yang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merepresentasikan fase percepatan dari agenda yang dimulai pada 2024. Penekanan bergeser dari sekadar menstabilkan perekonomian menjadi peningkatan kualitas belanja negara, penguatan pembangunan sumber daya manusia unggul, serta dorongan menuju ekonomi hijau sebagai respon jangka menengah terhadap krisis iklim dan tekanan fiskal global (Skidelsky, 2020) Pada tahap ini, pemerintah mulai mengintegrasikan prinsip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efficiency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green transition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 dalam kerangka pembangunan nasional.</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Selanjutnya,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mengusung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“Kedaulatan Pangan, Energi, dan Ekonomi”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menjadi kulminasi dari arah transformasi fiskal tersebut. Jika 2024 adalah titik awal dan 2025 merupakan fase akselerasi, maka 2026 menandai konsolidasi ideologis dan strategis kebijakan fiskal Indonesia, dengan fokus pada penguatan kemandirian nasional. Arah kebijakan fiskal ditujukan untuk memperkuat ketahanan pangan, energi, dan ekonomi melalui strategi diversifikasi energi domestik, peningkatan kapasitas produksi nasional, dan bioenergi berbasis kelapa sawit, yang menjadi pilar baru keamanan fiskal dan ekonomi Indonesia (Halimanjaya, 2019; Purwoko &amp; Wibowo, 2020)</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Dengan demikian, ketiga tema APBN tersebut membentuk satu kesatuan naratif yang saling terkait,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menggambarkan evolusi kebijakan fiskal dari reaktif terhadap krisis menuju transformatif dan berdaulat. Hal ini sejalan dengan pendekatan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adaptive fiscal governance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mana kebijakan fiskal pasca-pandemi tidak hanya bersifat restoratif, tetapi juga transformatif dalam membangun ekonomi nasional yang tangguh, inklusif, dan mandiri.</w:t>
      </w:r>
    </w:p>
    <w:p w:rsidR="00000000" w:rsidDel="00000000" w:rsidP="00000000" w:rsidRDefault="00000000" w:rsidRPr="00000000" w14:paraId="000000D9">
      <w:pPr>
        <w:spacing w:line="276" w:lineRule="auto"/>
        <w:ind w:firstLine="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Pergeseran tematik tersebut tidak hanya bersifat administratif, tetapi mencerminkan transisi paradigma kebijakan fiskal Indonesia dari orientasi counter-cyclical menuju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 Transformasi ini menandai reposisi peran negara dari stabilisator pasif menjadi aktor utama pembangunan struktural dan kemandirian ekonomi nasional </w:t>
      </w:r>
      <w:r w:rsidDel="00000000" w:rsidR="00000000" w:rsidRPr="00000000">
        <w:rPr>
          <w:rFonts w:ascii="Times New Roman" w:cs="Times New Roman" w:eastAsia="Times New Roman" w:hAnsi="Times New Roman"/>
          <w:color w:val="000000"/>
          <w:rtl w:val="0"/>
        </w:rPr>
        <w:t xml:space="preserve">(Indrawati et al., 2024; Judijanto, 2025)</w:t>
      </w:r>
      <w:r w:rsidDel="00000000" w:rsidR="00000000" w:rsidRPr="00000000">
        <w:rPr>
          <w:rFonts w:ascii="Times New Roman" w:cs="Times New Roman" w:eastAsia="Times New Roman" w:hAnsi="Times New Roman"/>
          <w:rtl w:val="0"/>
        </w:rPr>
        <w:t xml:space="preserve"> Dalam konteks ini, kebijakan fiskal Indonesia tidak lagi semata-mata berfungsi sebagai alat penstabil makroekonomi, melainkan sebagai motor transformasi struktural menuju perekonomian yang tangguh, inklusif, dan berdaya saing global. Kebijakan tersebut berakar pada agenda </w:t>
      </w:r>
      <w:r w:rsidDel="00000000" w:rsidR="00000000" w:rsidRPr="00000000">
        <w:rPr>
          <w:rFonts w:ascii="Times New Roman" w:cs="Times New Roman" w:eastAsia="Times New Roman" w:hAnsi="Times New Roman"/>
          <w:i w:val="1"/>
          <w:iCs w:val="1"/>
          <w:rtl w:val="0"/>
        </w:rPr>
        <w:t xml:space="preserve">Visi Indonesia Emas 2045</w:t>
      </w:r>
      <w:r w:rsidDel="00000000" w:rsidR="00000000" w:rsidRPr="00000000">
        <w:rPr>
          <w:rFonts w:ascii="Times New Roman" w:cs="Times New Roman" w:eastAsia="Times New Roman" w:hAnsi="Times New Roman"/>
          <w:rtl w:val="0"/>
        </w:rPr>
        <w:t xml:space="preserve">, yang menempatkan pembangunan manusia unggul, penguasaan sumber daya strategis, dan kedaulatan ekonomi nasional sebagai pilar utama pembangunan jangka panjang </w:t>
      </w:r>
      <w:r w:rsidDel="00000000" w:rsidR="00000000" w:rsidRPr="00000000">
        <w:rPr>
          <w:rFonts w:ascii="Times New Roman" w:cs="Times New Roman" w:eastAsia="Times New Roman" w:hAnsi="Times New Roman"/>
          <w:color w:val="000000"/>
          <w:rtl w:val="0"/>
        </w:rPr>
        <w:t xml:space="preserve">(Kacaribu &amp; Crystallin, 2025) </w:t>
      </w:r>
      <w:r w:rsidDel="00000000" w:rsidR="00000000" w:rsidRPr="00000000">
        <w:rPr>
          <w:rFonts w:ascii="Times New Roman" w:cs="Times New Roman" w:eastAsia="Times New Roman" w:hAnsi="Times New Roman"/>
          <w:rtl w:val="0"/>
        </w:rPr>
        <w:t xml:space="preserve">Dengan demikian, APBN kini berfungsi bukan sekadar instrumen teknokratis, tetapi juga artikulator politik ekonomi nasional, merefleksikan kedaulatan fiskal dan arah strategis pembangunan bangsa dalam menghadapi dinamika global dan tekanan geopolitik yang kian kompleks </w:t>
      </w:r>
      <w:r w:rsidDel="00000000" w:rsidR="00000000" w:rsidRPr="00000000">
        <w:rPr>
          <w:rFonts w:ascii="Times New Roman" w:cs="Times New Roman" w:eastAsia="Times New Roman" w:hAnsi="Times New Roman"/>
          <w:color w:val="000000"/>
          <w:rtl w:val="0"/>
        </w:rPr>
        <w:t xml:space="preserve">(Bondarenco, 2025; Mahira &amp; Karjoko, 2024)</w:t>
      </w:r>
    </w:p>
    <w:p w:rsidR="00000000" w:rsidDel="00000000" w:rsidP="00000000" w:rsidRDefault="00000000" w:rsidRPr="00000000" w14:paraId="000000DA">
      <w:pPr>
        <w:spacing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 sisi implementasi fiskal, kesinambungan kebijakan pemerintah tercermin dalam disiplin defisit anggaran dan peningkatan kualitas belanja publik. Ketiga dokumen APBN menunjukkan tren defisit yang konsisten di bawah 3 persen terhadap PDB yaitu 2,29 persen pada 2024, 2,53 persen pada 2025, dan 2,48 persen dalam RAPBN 2026 yang mencerminkan keberhasilan pemerintah menjaga kredibilitas fiskal tanpa mengorbankan ekspansi pembangunan </w:t>
      </w:r>
      <w:r w:rsidDel="00000000" w:rsidR="00000000" w:rsidRPr="00000000">
        <w:rPr>
          <w:rFonts w:ascii="Times New Roman" w:cs="Times New Roman" w:eastAsia="Times New Roman" w:hAnsi="Times New Roman"/>
          <w:color w:val="000000"/>
          <w:rtl w:val="0"/>
        </w:rPr>
        <w:t xml:space="preserve">(Hafel &amp; Ibrahim, 2024; Norrahman, 2024) </w:t>
      </w:r>
      <w:r w:rsidDel="00000000" w:rsidR="00000000" w:rsidRPr="00000000">
        <w:rPr>
          <w:rFonts w:ascii="Times New Roman" w:cs="Times New Roman" w:eastAsia="Times New Roman" w:hAnsi="Times New Roman"/>
          <w:rtl w:val="0"/>
        </w:rPr>
        <w:t xml:space="preserve">Selain itu, komposisi belanja negara terus mengalami pergeseran ke arah productive spending, terutama pada sektor pendidikan, kesehatan, ketahanan energi, dan perlindungan sosial, yang berfungsi sebagai social investment untuk memperkuat modal manusia dan inklusivitas ekonomi nasional (</w:t>
      </w:r>
      <w:r w:rsidDel="00000000" w:rsidR="00000000" w:rsidRPr="00000000">
        <w:rPr>
          <w:rFonts w:ascii="Times New Roman" w:cs="Times New Roman" w:eastAsia="Times New Roman" w:hAnsi="Times New Roman"/>
          <w:color w:val="000000"/>
          <w:rtl w:val="0"/>
        </w:rPr>
        <w:t xml:space="preserve">Ela, 2025;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Afkar et al, 2020; Cahya et al, 2024)</w:t>
      </w:r>
      <w:r w:rsidDel="00000000" w:rsidR="00000000" w:rsidRPr="00000000">
        <w:rPr>
          <w:rtl w:val="0"/>
        </w:rPr>
      </w:r>
    </w:p>
    <w:p w:rsidR="00000000" w:rsidDel="00000000" w:rsidP="00000000" w:rsidRDefault="00000000" w:rsidRPr="00000000" w14:paraId="000000DB">
      <w:pPr>
        <w:spacing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Secara empiris, studi </w:t>
      </w:r>
      <w:r w:rsidDel="00000000" w:rsidR="00000000" w:rsidRPr="00000000">
        <w:rPr>
          <w:rFonts w:ascii="Times New Roman" w:cs="Times New Roman" w:eastAsia="Times New Roman" w:hAnsi="Times New Roman"/>
          <w:i w:val="1"/>
          <w:iCs w:val="1"/>
          <w:rtl w:val="0"/>
        </w:rPr>
        <w:t xml:space="preserve">OECD Economic Outlook on Indonesia</w:t>
      </w:r>
      <w:r w:rsidDel="00000000" w:rsidR="00000000" w:rsidRPr="00000000">
        <w:rPr>
          <w:rFonts w:ascii="Times New Roman" w:cs="Times New Roman" w:eastAsia="Times New Roman" w:hAnsi="Times New Roman"/>
          <w:rtl w:val="0"/>
        </w:rPr>
        <w:t xml:space="preserve"> menunjukkan bahwa alokasi anggaran yang semakin produktif memberikan dampak positif terhadap pertumbuhan PDB dan penguatan daya saing jangka panjang, sekaligus mengurangi ketimpangan regional dan meningkatkan efisiensi belanja publik </w:t>
      </w:r>
      <w:r w:rsidDel="00000000" w:rsidR="00000000" w:rsidRPr="00000000">
        <w:rPr>
          <w:rFonts w:ascii="Times New Roman" w:cs="Times New Roman" w:eastAsia="Times New Roman" w:hAnsi="Times New Roman"/>
          <w:color w:val="000000"/>
          <w:rtl w:val="0"/>
        </w:rPr>
        <w:t xml:space="preserve">(Cepparulo &amp; Mourre, 2022; Iskandar et al., 2019)</w:t>
      </w:r>
      <w:r w:rsidDel="00000000" w:rsidR="00000000" w:rsidRPr="00000000">
        <w:rPr>
          <w:rFonts w:ascii="Times New Roman" w:cs="Times New Roman" w:eastAsia="Times New Roman" w:hAnsi="Times New Roman"/>
          <w:rtl w:val="0"/>
        </w:rPr>
        <w:t xml:space="preserve">. Tren ini diperkuat melalui reformasi APBN 2026 yang mengintegrasikan pendekatan “fiscal-green and social analysis”, menghubungkan agenda transisi menuju carbon neutrality dengan kebijakan perlindungan sosial yang inklusif, mencerminkan sinergi antara </w:t>
      </w:r>
      <w:r w:rsidDel="00000000" w:rsidR="00000000" w:rsidRPr="00000000">
        <w:rPr>
          <w:rFonts w:ascii="Times New Roman" w:cs="Times New Roman" w:eastAsia="Times New Roman" w:hAnsi="Times New Roman"/>
          <w:i w:val="1"/>
          <w:iCs w:val="1"/>
          <w:rtl w:val="0"/>
        </w:rPr>
        <w:t xml:space="preserve">sustainability</w:t>
      </w:r>
      <w:r w:rsidDel="00000000" w:rsidR="00000000" w:rsidRPr="00000000">
        <w:rPr>
          <w:rFonts w:ascii="Times New Roman" w:cs="Times New Roman" w:eastAsia="Times New Roman" w:hAnsi="Times New Roman"/>
          <w:rtl w:val="0"/>
        </w:rPr>
        <w:t xml:space="preserve"> dan </w:t>
      </w:r>
      <w:r w:rsidDel="00000000" w:rsidR="00000000" w:rsidRPr="00000000">
        <w:rPr>
          <w:rFonts w:ascii="Times New Roman" w:cs="Times New Roman" w:eastAsia="Times New Roman" w:hAnsi="Times New Roman"/>
          <w:i w:val="1"/>
          <w:iCs w:val="1"/>
          <w:rtl w:val="0"/>
        </w:rPr>
        <w:t xml:space="preserve">social justice</w:t>
      </w:r>
      <w:r w:rsidDel="00000000" w:rsidR="00000000" w:rsidRPr="00000000">
        <w:rPr>
          <w:rFonts w:ascii="Times New Roman" w:cs="Times New Roman" w:eastAsia="Times New Roman" w:hAnsi="Times New Roman"/>
          <w:rtl w:val="0"/>
        </w:rPr>
        <w:t xml:space="preserve"> dalam desain fiskal Indonesia modern (</w:t>
      </w:r>
      <w:r w:rsidDel="00000000" w:rsidR="00000000" w:rsidRPr="00000000">
        <w:rPr>
          <w:rFonts w:ascii="Times New Roman" w:cs="Times New Roman" w:eastAsia="Times New Roman" w:hAnsi="Times New Roman"/>
          <w:color w:val="000000"/>
          <w:rtl w:val="0"/>
        </w:rPr>
        <w:t xml:space="preserve">Ela, 2025)</w:t>
      </w:r>
      <w:r w:rsidDel="00000000" w:rsidR="00000000" w:rsidRPr="00000000">
        <w:rPr>
          <w:rtl w:val="0"/>
        </w:rPr>
      </w:r>
    </w:p>
    <w:p w:rsidR="00000000" w:rsidDel="00000000" w:rsidP="00000000" w:rsidRDefault="00000000" w:rsidRPr="00000000" w14:paraId="000000DC">
      <w:pPr>
        <w:spacing w:line="276" w:lineRule="auto"/>
        <w:ind w:firstLine="72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Meskipun berbagai studi telah menyoroti peran APBN dalam mendukung pemulihan ekonomi selama pandemi, penelitian yang menelaah pergeseran arah kebijakan fiskal pasca-pandemi, khususnya periode 2024–2026, masih relatif terbatas. Sebagian besar kajian berfokus pada efektivitas stimulus fiskal, reformasi perpajakan, atau penanganan krisis kesehatan, tanpa mengulas secara mendalam perubahan paradigma kebijakan fiskal dalam konteks kemandirian ekonomi nasional </w:t>
      </w:r>
      <w:r w:rsidDel="00000000" w:rsidR="00000000" w:rsidRPr="00000000">
        <w:rPr>
          <w:rFonts w:ascii="Times New Roman" w:cs="Times New Roman" w:eastAsia="Times New Roman" w:hAnsi="Times New Roman"/>
          <w:color w:val="000000"/>
          <w:rtl w:val="0"/>
        </w:rPr>
        <w:t xml:space="preserve">(Patra, 2025; Pulipaka et al., 2023) </w:t>
      </w:r>
    </w:p>
    <w:p w:rsidR="00000000" w:rsidDel="00000000" w:rsidP="00000000" w:rsidRDefault="00000000" w:rsidRPr="00000000" w14:paraId="000000DD">
      <w:pPr>
        <w:spacing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Padahal, periode transisi ini sangat strategis karena menjadi landasan perumusan arah kebijakan fiskal menengah Indonesia menuju pemerintahan baru dan tahapan awal menuju Visi Indonesia Emas 2045 sebagaimana ditegaskan dalam </w:t>
      </w:r>
      <w:r w:rsidDel="00000000" w:rsidR="00000000" w:rsidRPr="00000000">
        <w:rPr>
          <w:rFonts w:ascii="Times New Roman" w:cs="Times New Roman" w:eastAsia="Times New Roman" w:hAnsi="Times New Roman"/>
          <w:i w:val="1"/>
          <w:iCs w:val="1"/>
          <w:rtl w:val="0"/>
        </w:rPr>
        <w:t xml:space="preserve">Rencana Pembangunan Jangka Panjang Nasional (RPJPN) 2025–2045</w:t>
      </w:r>
      <w:r w:rsidDel="00000000" w:rsidR="00000000" w:rsidRPr="00000000">
        <w:rPr>
          <w:rFonts w:ascii="Times New Roman" w:cs="Times New Roman" w:eastAsia="Times New Roman" w:hAnsi="Times New Roman"/>
          <w:rtl w:val="0"/>
        </w:rPr>
        <w:t xml:space="preserve"> yang menggarisbawahi transformasi ekonomi, ketahanan pangan-energi, dan pembangunan manusia unggul sebagai fondasi kemandirian ekonomi. Kekosongan literatur ini menunjukkan adanya celah riset (research gap) dalam diskursus ilmiah tentang evolusi kebijakan fiskal Indonesia pasca-krisis global, yang belum banyak menyoroti dimensi politik-ekonomi dan transisi paradigma dari </w:t>
      </w:r>
      <w:r w:rsidDel="00000000" w:rsidR="00000000" w:rsidRPr="00000000">
        <w:rPr>
          <w:rFonts w:ascii="Times New Roman" w:cs="Times New Roman" w:eastAsia="Times New Roman" w:hAnsi="Times New Roman"/>
          <w:i w:val="1"/>
          <w:iCs w:val="1"/>
          <w:rtl w:val="0"/>
        </w:rPr>
        <w:t xml:space="preserve">counter-cyclical</w:t>
      </w:r>
      <w:r w:rsidDel="00000000" w:rsidR="00000000" w:rsidRPr="00000000">
        <w:rPr>
          <w:rFonts w:ascii="Times New Roman" w:cs="Times New Roman" w:eastAsia="Times New Roman" w:hAnsi="Times New Roman"/>
          <w:rtl w:val="0"/>
        </w:rPr>
        <w:t xml:space="preserve"> ke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E">
      <w:pPr>
        <w:spacing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Berdasarkan konteks tersebut, penelitian ini bertujuan untuk mengidentifikasi pola perubahan arah kebijakan fiskal Indonesia pada periode 2024–2026 melalui analisis deskriptif-komparatif terhadap dokumen resmi </w:t>
      </w:r>
      <w:r w:rsidDel="00000000" w:rsidR="00000000" w:rsidRPr="00000000">
        <w:rPr>
          <w:rFonts w:ascii="Times New Roman" w:cs="Times New Roman" w:eastAsia="Times New Roman" w:hAnsi="Times New Roman"/>
          <w:i w:val="1"/>
          <w:iCs w:val="1"/>
          <w:rtl w:val="0"/>
        </w:rPr>
        <w:t xml:space="preserve">Informasi APBN </w:t>
      </w:r>
      <w:r w:rsidDel="00000000" w:rsidR="00000000" w:rsidRPr="00000000">
        <w:rPr>
          <w:rFonts w:ascii="Times New Roman" w:cs="Times New Roman" w:eastAsia="Times New Roman" w:hAnsi="Times New Roman"/>
          <w:rtl w:val="0"/>
        </w:rPr>
        <w:t xml:space="preserve">dan </w:t>
      </w:r>
      <w:r w:rsidDel="00000000" w:rsidR="00000000" w:rsidRPr="00000000">
        <w:rPr>
          <w:rFonts w:ascii="Times New Roman" w:cs="Times New Roman" w:eastAsia="Times New Roman" w:hAnsi="Times New Roman"/>
          <w:i w:val="1"/>
          <w:iCs w:val="1"/>
          <w:rtl w:val="0"/>
        </w:rPr>
        <w:t xml:space="preserve">RAPBN</w:t>
      </w:r>
      <w:r w:rsidDel="00000000" w:rsidR="00000000" w:rsidRPr="00000000">
        <w:rPr>
          <w:rFonts w:ascii="Times New Roman" w:cs="Times New Roman" w:eastAsia="Times New Roman" w:hAnsi="Times New Roman"/>
          <w:rtl w:val="0"/>
        </w:rPr>
        <w:t xml:space="preserve"> yang diterbitkan oleh Kementerian Keuangan Republik Indonesia. Analisis ini tidak hanya berfokus pada aspek nominal atau struktural anggaran, tetapi juga menelaah narasi tematik dan orientasi kebijakan fiskal yang mencerminkan pergeseran paradigma dari </w:t>
      </w:r>
      <w:r w:rsidDel="00000000" w:rsidR="00000000" w:rsidRPr="00000000">
        <w:rPr>
          <w:rFonts w:ascii="Times New Roman" w:cs="Times New Roman" w:eastAsia="Times New Roman" w:hAnsi="Times New Roman"/>
          <w:i w:val="1"/>
          <w:iCs w:val="1"/>
          <w:rtl w:val="0"/>
        </w:rPr>
        <w:t xml:space="preserve">counter-cyclical</w:t>
      </w:r>
      <w:r w:rsidDel="00000000" w:rsidR="00000000" w:rsidRPr="00000000">
        <w:rPr>
          <w:rFonts w:ascii="Times New Roman" w:cs="Times New Roman" w:eastAsia="Times New Roman" w:hAnsi="Times New Roman"/>
          <w:rtl w:val="0"/>
        </w:rPr>
        <w:t xml:space="preserve"> menuju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F">
      <w:pPr>
        <w:spacing w:after="120" w:before="12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KAJIAN PUSTAKA DAN PERUMUSAN HIPOTESIS</w:t>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Paradigma Kebijakan Fiskal dalam Konteks Pasca-Pandemi</w:t>
      </w:r>
    </w:p>
    <w:p w:rsidR="00000000" w:rsidDel="00000000" w:rsidP="00000000" w:rsidRDefault="00000000" w:rsidRPr="00000000" w14:paraId="000000E2">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Pandemi COVID-19 telah menjadi titik balik (inflection point) dalam tata kelola ekonomi global dan nasional </w:t>
      </w:r>
      <w:r w:rsidDel="00000000" w:rsidR="00000000" w:rsidRPr="00000000">
        <w:rPr>
          <w:rFonts w:ascii="Times New Roman" w:cs="Times New Roman" w:eastAsia="Times New Roman" w:hAnsi="Times New Roman"/>
          <w:color w:val="000000"/>
          <w:rtl w:val="0"/>
        </w:rPr>
        <w:t xml:space="preserve">(Chohan, 2020)</w:t>
      </w:r>
      <w:r w:rsidDel="00000000" w:rsidR="00000000" w:rsidRPr="00000000">
        <w:rPr>
          <w:rFonts w:ascii="Times New Roman" w:cs="Times New Roman" w:eastAsia="Times New Roman" w:hAnsi="Times New Roman"/>
          <w:rtl w:val="0"/>
        </w:rPr>
        <w:t xml:space="preserve">. Pada konteks Indonesia, pandemi mendorong reposisi kebijakan fiskal dari peran tradisionalnya sebagai </w:t>
      </w:r>
      <w:r w:rsidDel="00000000" w:rsidR="00000000" w:rsidRPr="00000000">
        <w:rPr>
          <w:rFonts w:ascii="Times New Roman" w:cs="Times New Roman" w:eastAsia="Times New Roman" w:hAnsi="Times New Roman"/>
          <w:i w:val="1"/>
          <w:iCs w:val="1"/>
          <w:rtl w:val="0"/>
        </w:rPr>
        <w:t xml:space="preserve">counter-cyclical stabilizer</w:t>
      </w:r>
      <w:r w:rsidDel="00000000" w:rsidR="00000000" w:rsidRPr="00000000">
        <w:rPr>
          <w:rFonts w:ascii="Times New Roman" w:cs="Times New Roman" w:eastAsia="Times New Roman" w:hAnsi="Times New Roman"/>
          <w:rtl w:val="0"/>
        </w:rPr>
        <w:t xml:space="preserve"> menuju instrumen transformasi struktural dan ketahanan nasional </w:t>
      </w:r>
      <w:r w:rsidDel="00000000" w:rsidR="00000000" w:rsidRPr="00000000">
        <w:rPr>
          <w:rFonts w:ascii="Times New Roman" w:cs="Times New Roman" w:eastAsia="Times New Roman" w:hAnsi="Times New Roman"/>
          <w:color w:val="000000"/>
          <w:rtl w:val="0"/>
        </w:rPr>
        <w:t xml:space="preserve">(Ramesh, 2025)</w:t>
      </w:r>
      <w:r w:rsidDel="00000000" w:rsidR="00000000" w:rsidRPr="00000000">
        <w:rPr>
          <w:rFonts w:ascii="Times New Roman" w:cs="Times New Roman" w:eastAsia="Times New Roman" w:hAnsi="Times New Roman"/>
          <w:rtl w:val="0"/>
        </w:rPr>
        <w:t xml:space="preserve"> Kebijakan fiskal pasca-pandemi tidak hanya berfungsi menahan gejolak ekonomi, tetapi juga menjadi alat untuk membangun fondasi ekonomi berkelanjutan, dengan orientasi pada </w:t>
      </w:r>
      <w:r w:rsidDel="00000000" w:rsidR="00000000" w:rsidRPr="00000000">
        <w:rPr>
          <w:rFonts w:ascii="Times New Roman" w:cs="Times New Roman" w:eastAsia="Times New Roman" w:hAnsi="Times New Roman"/>
          <w:i w:val="1"/>
          <w:iCs w:val="1"/>
          <w:rtl w:val="0"/>
        </w:rPr>
        <w:t xml:space="preserve">inclusive recovery</w:t>
      </w:r>
      <w:r w:rsidDel="00000000" w:rsidR="00000000" w:rsidRPr="00000000">
        <w:rPr>
          <w:rFonts w:ascii="Times New Roman" w:cs="Times New Roman" w:eastAsia="Times New Roman" w:hAnsi="Times New Roman"/>
          <w:rtl w:val="0"/>
        </w:rPr>
        <w:t xml:space="preserve">, ketahanan sosial, dan transisi energi hijau </w:t>
      </w:r>
      <w:r w:rsidDel="00000000" w:rsidR="00000000" w:rsidRPr="00000000">
        <w:rPr>
          <w:rFonts w:ascii="Times New Roman" w:cs="Times New Roman" w:eastAsia="Times New Roman" w:hAnsi="Times New Roman"/>
          <w:color w:val="000000"/>
          <w:rtl w:val="0"/>
        </w:rPr>
        <w:t xml:space="preserve">(UN ESCAP, 2025). Kedua Pendekatan ini dapat mendorong ekonomi yang lebih tangguh, memastikan bahwa upaya pemulihan tidak hanya inklusif tetapi juga bertanggung jawab terhadap lingkungan, sehingga selaras dengan tujuan keberlanjutan global. Selain itu, ketika negara-negara menavigasi fase pemulihan yang kompleks ini, pentingnya kolaborasi regional dan berbagi pengetahuan menjadi yang terpenting, memungkinkan negara-negara untuk belajar dari keberhasilan dan tantangan masing-masing dalam menerapkan strategi fiskal yang efektif (Leong et al., 2024).</w:t>
      </w:r>
      <w:r w:rsidDel="00000000" w:rsidR="00000000" w:rsidRPr="00000000">
        <w:rPr>
          <w:rtl w:val="0"/>
        </w:rPr>
      </w:r>
    </w:p>
    <w:p w:rsidR="00000000" w:rsidDel="00000000" w:rsidP="00000000" w:rsidRDefault="00000000" w:rsidRPr="00000000" w14:paraId="000000E3">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Negara-negara ASEAN, termasuk Indonesia, menghadapi tantangan untuk menyeimbangkan inklusivitas pertumbuhan dengan disiplin fiskal, yang sering kali bersinggungan dengan agenda dekarbonisasi dan adaptasi iklim </w:t>
      </w:r>
      <w:r w:rsidDel="00000000" w:rsidR="00000000" w:rsidRPr="00000000">
        <w:rPr>
          <w:rFonts w:ascii="Times New Roman" w:cs="Times New Roman" w:eastAsia="Times New Roman" w:hAnsi="Times New Roman"/>
          <w:color w:val="000000"/>
          <w:rtl w:val="0"/>
        </w:rPr>
        <w:t xml:space="preserve">(M. Weber et al., 2022)</w:t>
      </w:r>
      <w:r w:rsidDel="00000000" w:rsidR="00000000" w:rsidRPr="00000000">
        <w:rPr>
          <w:rFonts w:ascii="Times New Roman" w:cs="Times New Roman" w:eastAsia="Times New Roman" w:hAnsi="Times New Roman"/>
          <w:rtl w:val="0"/>
        </w:rPr>
        <w:t xml:space="preserve">. Hal ini menunjukkan bahwa </w:t>
      </w:r>
      <w:r w:rsidDel="00000000" w:rsidR="00000000" w:rsidRPr="00000000">
        <w:rPr>
          <w:rFonts w:ascii="Times New Roman" w:cs="Times New Roman" w:eastAsia="Times New Roman" w:hAnsi="Times New Roman"/>
          <w:i w:val="1"/>
          <w:iCs w:val="1"/>
          <w:rtl w:val="0"/>
        </w:rPr>
        <w:t xml:space="preserve">sustainable fiscal management</w:t>
      </w:r>
      <w:r w:rsidDel="00000000" w:rsidR="00000000" w:rsidRPr="00000000">
        <w:rPr>
          <w:rFonts w:ascii="Times New Roman" w:cs="Times New Roman" w:eastAsia="Times New Roman" w:hAnsi="Times New Roman"/>
          <w:rtl w:val="0"/>
        </w:rPr>
        <w:t xml:space="preserve"> menjadi pondasi utama bagi stabilitas jangka panjang di era pasca-pandemi . Dengan demikian, paradigma fiskal pasca-pandemi di Indonesia tidak lagi berorientasi jangka pendek, melainkan diarahkan untuk membentuk kedaulatan ekonomi (</w:t>
      </w:r>
      <w:r w:rsidDel="00000000" w:rsidR="00000000" w:rsidRPr="00000000">
        <w:rPr>
          <w:rFonts w:ascii="Times New Roman" w:cs="Times New Roman" w:eastAsia="Times New Roman" w:hAnsi="Times New Roman"/>
          <w:i w:val="1"/>
          <w:iCs w:val="1"/>
          <w:rtl w:val="0"/>
        </w:rPr>
        <w:t xml:space="preserve">fiscal sovereignty</w:t>
      </w:r>
      <w:r w:rsidDel="00000000" w:rsidR="00000000" w:rsidRPr="00000000">
        <w:rPr>
          <w:rFonts w:ascii="Times New Roman" w:cs="Times New Roman" w:eastAsia="Times New Roman" w:hAnsi="Times New Roman"/>
          <w:rtl w:val="0"/>
        </w:rPr>
        <w:t xml:space="preserve">) melalui diversifikasi pendapatan, efisiensi belanja, dan penguatan kapasitas institusional fiskal.</w:t>
      </w:r>
    </w:p>
    <w:p w:rsidR="00000000" w:rsidDel="00000000" w:rsidP="00000000" w:rsidRDefault="00000000" w:rsidRPr="00000000" w14:paraId="000000E4">
      <w:pPr>
        <w:spacing w:after="120" w:before="12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after="120" w:before="120" w:line="276"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rtl w:val="0"/>
        </w:rPr>
        <w:t xml:space="preserve">Pergeseran Menuju </w:t>
      </w:r>
      <w:r w:rsidDel="00000000" w:rsidR="00000000" w:rsidRPr="00000000">
        <w:rPr>
          <w:rFonts w:ascii="Times New Roman" w:cs="Times New Roman" w:eastAsia="Times New Roman" w:hAnsi="Times New Roman"/>
          <w:b w:val="1"/>
          <w:bCs w:val="1"/>
          <w:i w:val="1"/>
          <w:iCs w:val="1"/>
          <w:rtl w:val="0"/>
        </w:rPr>
        <w:t xml:space="preserve">Developmental </w:t>
      </w:r>
      <w:r w:rsidDel="00000000" w:rsidR="00000000" w:rsidRPr="00000000">
        <w:rPr>
          <w:rFonts w:ascii="Times New Roman" w:cs="Times New Roman" w:eastAsia="Times New Roman" w:hAnsi="Times New Roman"/>
          <w:b w:val="1"/>
          <w:bCs w:val="1"/>
          <w:rtl w:val="0"/>
        </w:rPr>
        <w:t xml:space="preserve">dan </w:t>
      </w:r>
      <w:r w:rsidDel="00000000" w:rsidR="00000000" w:rsidRPr="00000000">
        <w:rPr>
          <w:rFonts w:ascii="Times New Roman" w:cs="Times New Roman" w:eastAsia="Times New Roman" w:hAnsi="Times New Roman"/>
          <w:b w:val="1"/>
          <w:bCs w:val="1"/>
          <w:i w:val="1"/>
          <w:iCs w:val="1"/>
          <w:rtl w:val="0"/>
        </w:rPr>
        <w:t xml:space="preserve">Sovereignty-Oriented Fiscal Policy</w:t>
      </w:r>
    </w:p>
    <w:p w:rsidR="00000000" w:rsidDel="00000000" w:rsidP="00000000" w:rsidRDefault="00000000" w:rsidRPr="00000000" w14:paraId="000000E6">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Transformasi arah kebijakan fiskal Indonesia periode 2024–2026 mencerminkan pergeseran paradigma dari krisis menuju pembangunan berdaulat. Konsolidasi fiskal Indonesia berorientasi pada </w:t>
      </w:r>
      <w:r w:rsidDel="00000000" w:rsidR="00000000" w:rsidRPr="00000000">
        <w:rPr>
          <w:rFonts w:ascii="Times New Roman" w:cs="Times New Roman" w:eastAsia="Times New Roman" w:hAnsi="Times New Roman"/>
          <w:i w:val="1"/>
          <w:iCs w:val="1"/>
          <w:rtl w:val="0"/>
        </w:rPr>
        <w:t xml:space="preserve">structural upgrading</w:t>
      </w:r>
      <w:r w:rsidDel="00000000" w:rsidR="00000000" w:rsidRPr="00000000">
        <w:rPr>
          <w:rFonts w:ascii="Times New Roman" w:cs="Times New Roman" w:eastAsia="Times New Roman" w:hAnsi="Times New Roman"/>
          <w:rtl w:val="0"/>
        </w:rPr>
        <w:t xml:space="preserve">, investasi hijau, dan peningkatan kapasitas SDM nasional. Kebijakan ini memperkuat legitimasi negara dalam pembangunan, menempatkan APBN sebagai instrumen politik-ekonomi untuk mendukung kemandirian strategis dan daya tahan fiskal jangka panjang </w:t>
      </w:r>
      <w:r w:rsidDel="00000000" w:rsidR="00000000" w:rsidRPr="00000000">
        <w:rPr>
          <w:rFonts w:ascii="Times New Roman" w:cs="Times New Roman" w:eastAsia="Times New Roman" w:hAnsi="Times New Roman"/>
          <w:color w:val="000000"/>
          <w:rtl w:val="0"/>
        </w:rPr>
        <w:t xml:space="preserve">(Hafel &amp; Ibrahim, 2024; Judijanto &amp; Muthalib, 2025)</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7">
      <w:pPr>
        <w:spacing w:after="120" w:before="12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Peran Indonesia sebagai </w:t>
      </w:r>
      <w:r w:rsidDel="00000000" w:rsidR="00000000" w:rsidRPr="00000000">
        <w:rPr>
          <w:rFonts w:ascii="Times New Roman" w:cs="Times New Roman" w:eastAsia="Times New Roman" w:hAnsi="Times New Roman"/>
          <w:i w:val="1"/>
          <w:iCs w:val="1"/>
          <w:rtl w:val="0"/>
        </w:rPr>
        <w:t xml:space="preserve">Asian developmental power</w:t>
      </w:r>
      <w:r w:rsidDel="00000000" w:rsidR="00000000" w:rsidRPr="00000000">
        <w:rPr>
          <w:rFonts w:ascii="Times New Roman" w:cs="Times New Roman" w:eastAsia="Times New Roman" w:hAnsi="Times New Roman"/>
          <w:rtl w:val="0"/>
        </w:rPr>
        <w:t xml:space="preserve"> yang menyeimbangkan pertumbuhan ekonomi dengan kepemilikan sumber daya strategis </w:t>
      </w:r>
      <w:r w:rsidDel="00000000" w:rsidR="00000000" w:rsidRPr="00000000">
        <w:rPr>
          <w:rFonts w:ascii="Times New Roman" w:cs="Times New Roman" w:eastAsia="Times New Roman" w:hAnsi="Times New Roman"/>
          <w:color w:val="000000"/>
          <w:rtl w:val="0"/>
        </w:rPr>
        <w:t xml:space="preserve">(Dorigné-Thomson, 2023a)</w:t>
      </w:r>
      <w:r w:rsidDel="00000000" w:rsidR="00000000" w:rsidRPr="00000000">
        <w:rPr>
          <w:rFonts w:ascii="Times New Roman" w:cs="Times New Roman" w:eastAsia="Times New Roman" w:hAnsi="Times New Roman"/>
          <w:rtl w:val="0"/>
        </w:rPr>
        <w:t xml:space="preserve">. Dalam konteks ini, </w:t>
      </w:r>
      <w:r w:rsidDel="00000000" w:rsidR="00000000" w:rsidRPr="00000000">
        <w:rPr>
          <w:rFonts w:ascii="Times New Roman" w:cs="Times New Roman" w:eastAsia="Times New Roman" w:hAnsi="Times New Roman"/>
          <w:i w:val="1"/>
          <w:iCs w:val="1"/>
          <w:rtl w:val="0"/>
        </w:rPr>
        <w:t xml:space="preserve">developmental and sovereignty-oriented fiscal policy</w:t>
      </w:r>
      <w:r w:rsidDel="00000000" w:rsidR="00000000" w:rsidRPr="00000000">
        <w:rPr>
          <w:rFonts w:ascii="Times New Roman" w:cs="Times New Roman" w:eastAsia="Times New Roman" w:hAnsi="Times New Roman"/>
          <w:rtl w:val="0"/>
        </w:rPr>
        <w:t xml:space="preserve"> menjadi refleksi dari kemampuan negara mempertahankan otonomi fiskal di tengah arsitektur ekonomi global yang kian terfragmentasi. Kebijakan fiskal Indonesia kini dikaitkan pula dengan pembangunan berkelanjutan dan pergeseran kontrak sosial fiskal. Sebagai upaya menuju </w:t>
      </w:r>
      <w:r w:rsidDel="00000000" w:rsidR="00000000" w:rsidRPr="00000000">
        <w:rPr>
          <w:rFonts w:ascii="Times New Roman" w:cs="Times New Roman" w:eastAsia="Times New Roman" w:hAnsi="Times New Roman"/>
          <w:i w:val="1"/>
          <w:iCs w:val="1"/>
          <w:rtl w:val="0"/>
        </w:rPr>
        <w:t xml:space="preserve">fair fiscal contract</w:t>
      </w:r>
      <w:r w:rsidDel="00000000" w:rsidR="00000000" w:rsidRPr="00000000">
        <w:rPr>
          <w:rFonts w:ascii="Times New Roman" w:cs="Times New Roman" w:eastAsia="Times New Roman" w:hAnsi="Times New Roman"/>
          <w:rtl w:val="0"/>
        </w:rPr>
        <w:t xml:space="preserve">, dimana pemerintah memperkuat legitimasi fiskal dengan menyeimbangkan antara redistribusi sosial dan efisiensi ekonomi </w:t>
      </w:r>
      <w:r w:rsidDel="00000000" w:rsidR="00000000" w:rsidRPr="00000000">
        <w:rPr>
          <w:rFonts w:ascii="Times New Roman" w:cs="Times New Roman" w:eastAsia="Times New Roman" w:hAnsi="Times New Roman"/>
          <w:color w:val="000000"/>
          <w:rtl w:val="0"/>
        </w:rPr>
        <w:t xml:space="preserve">(Hujo &amp; Fuentes-Nieva, 2024)</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8">
      <w:pPr>
        <w:spacing w:after="120" w:before="120" w:line="276" w:lineRule="auto"/>
        <w:jc w:val="both"/>
        <w:rPr>
          <w:rFonts w:ascii="Times New Roman" w:cs="Times New Roman" w:eastAsia="Times New Roman" w:hAnsi="Times New Roman"/>
          <w:b w:val="1"/>
          <w:bCs w:val="1"/>
          <w:i w:val="1"/>
          <w:iCs w:val="1"/>
        </w:rPr>
      </w:pPr>
      <w:sdt>
        <w:sdtPr>
          <w:id w:val="1234922494"/>
          <w:tag w:val="goog_rdk_6"/>
        </w:sdtPr>
        <w:sdtContent>
          <w:commentRangeStart w:id="6"/>
        </w:sdtContent>
      </w:sdt>
      <w:sdt>
        <w:sdtPr>
          <w:id w:val="-436529154"/>
          <w:tag w:val="goog_rdk_7"/>
        </w:sdtPr>
        <w:sdtContent>
          <w:commentRangeStart w:id="7"/>
        </w:sdtContent>
      </w:sdt>
      <w:r w:rsidDel="00000000" w:rsidR="00000000" w:rsidRPr="00000000">
        <w:rPr>
          <w:rFonts w:ascii="Times New Roman" w:cs="Times New Roman" w:eastAsia="Times New Roman" w:hAnsi="Times New Roman"/>
          <w:b w:val="1"/>
          <w:bCs w:val="1"/>
          <w:rtl w:val="0"/>
        </w:rPr>
        <w:t xml:space="preserve">Literatur Empiris dan </w:t>
      </w:r>
      <w:r w:rsidDel="00000000" w:rsidR="00000000" w:rsidRPr="00000000">
        <w:rPr>
          <w:rFonts w:ascii="Times New Roman" w:cs="Times New Roman" w:eastAsia="Times New Roman" w:hAnsi="Times New Roman"/>
          <w:b w:val="1"/>
          <w:bCs w:val="1"/>
          <w:i w:val="1"/>
          <w:iCs w:val="1"/>
          <w:rtl w:val="0"/>
        </w:rPr>
        <w:t xml:space="preserve">Research Gap</w:t>
      </w:r>
      <w:commentRangeEnd w:id="6"/>
      <w:r w:rsidDel="00000000" w:rsidR="00000000" w:rsidRPr="00000000">
        <w:commentReference w:id="6"/>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Kajian empiris menunjukkan bahwa periode 2024–2026 menjadi masa krusial bagi konsolidasi dan inovasi fiskal Indonesia. Transformasi fiskal di Indonesia merupakan respons adaptif terhadap tekanan global dan kebutuhan internal untuk memperkuat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inclusive growth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(Crystallin, 2022). Negara-negara ASEAN mulai mengembangkan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adaptive fiscal strategies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mengintegrasikan fungsi stabilisasi dan transformasi sosial dalam kebijakan fiskal pasca-pandemi (M. Weber et al., 2022).</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Namun, pendekatan yang digunakan dalam sebagian besar studi cenderung terfragmentasi. Misalnya, studi Indrawati et al., (2024)</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dan (Judijanto, 2025)</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fokus pada efektivitas kebijakan fiskal selama pandemi, tetapi belum mengulas secara sistematis evolusi peran APBN sebagai instrumen pembangunan berdaulat pasca-pandemi. Demikian pula, studi (Grabel, 2024) dan (Hujo &amp; Fuentes-Nieva, 2024) menyoroti pentingnya perluasan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space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melalui inovasi pembiayaan dan penguatan kapasitas fiskal di negara berkembang. Namun, masih minim kajian yang secara eksplisit menjelaskan bagaimana strategi ini diimplementasikan secara konkret dalam dokumen fiskal Indonesia, khususnya dalam kerangka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Visi Indonesia Emas 2045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72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Beberapa penelitian lainnya membahas reformasi perpajakan (Putri &amp; Najicha, 2021; Supriadi, 2024) kebijakan perlindungan sosial (Ela, 2025; UN ESCAP, 2025)</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serta penguatan fiskal daerah (Afkar et al., 2020) tetapi belum mengaitkannya secara langsung dengan perubahan naratif dan ideologis dalam APBN,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response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and sovereignty-oriented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sisi lain, pendekatan berbasis dokumen APBN yang mengkaji narasi tematik dan arsitektur kebijakan secara longitudinal masih sangat jarang digunakan dalam literatur fiskal nasional, meskipun praktik ini umum dilakukan dalam analisis kebijakan publik di tingkat internasional (Idrus, 2024; Prayoga, 2022).</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72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Oleh karena itu,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celah penelitian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(research gap</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jelas terlihat adalah absennya studi yang memadukan pendekatan deskriptif-komparatif berbasis dokumen fiskal (Informasi APBN dan RAPBN) dengan kerangka teori fiskal pembangunan dan kedaulatan negara. Studi ini berupaya menjawab celah tersebut dengan menelaah arah kebijakan fiskal Indonesia tahun 2024–2026 sebagai bentuk transformasi paradigma fiskal menuju model pembangunan berdaulat yang adaptif dan inklusif. Pendekatan ini tidak hanya menyasar struktur nominal dan teknokratis anggaran, tetapi juga menafsirkan logika ideologis, narasi politik fiskal, dan korelasi kebijakan dengan pembangunan jangka panjang nasional.</w:t>
      </w:r>
      <w:r w:rsidDel="00000000" w:rsidR="00000000" w:rsidRPr="00000000">
        <w:rPr>
          <w:rtl w:val="0"/>
        </w:rPr>
      </w:r>
    </w:p>
    <w:p w:rsidR="00000000" w:rsidDel="00000000" w:rsidP="00000000" w:rsidRDefault="00000000" w:rsidRPr="00000000" w14:paraId="000000ED">
      <w:pPr>
        <w:spacing w:after="120" w:before="120" w:line="276"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METODE PENELITIAN</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120" w:line="276"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Pendekatan dan Desain Penelitian</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menggunakan pendekatan </w:t>
      </w:r>
      <w:sdt>
        <w:sdtPr>
          <w:id w:val="1752739030"/>
          <w:tag w:val="goog_rdk_8"/>
        </w:sdtPr>
        <w:sdtContent>
          <w:commentRangeStart w:id="8"/>
        </w:sdtContent>
      </w:sdt>
      <w:sdt>
        <w:sdtPr>
          <w:id w:val="733096292"/>
          <w:tag w:val="goog_rdk_9"/>
        </w:sdtPr>
        <w:sdtContent>
          <w:commentRangeStart w:id="9"/>
        </w:sdtContent>
      </w:s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kualitatif-deskriptif dengan desain komparatif, </w:t>
      </w:r>
      <w:commentRangeEnd w:id="8"/>
      <w:r w:rsidDel="00000000" w:rsidR="00000000" w:rsidRPr="00000000">
        <w:commentReference w:id="8"/>
      </w:r>
      <w:commentRangeEnd w:id="9"/>
      <w:r w:rsidDel="00000000" w:rsidR="00000000" w:rsidRPr="00000000">
        <w:commentReference w:id="9"/>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secara khusus bertujuan untuk mengidentifikasi dan menjelaskan pola perubahan arah kebijakan fiskal nasional Indonesia pada periode 2024–2026. Pendekatan ini dipilih karena memungkinkan analisis mendalam atas dokumen kebijakan yang tidak hanya mencerminkan angka dan struktur belanja negara, tetapi juga mengandung narasi, logika kebijakan, dan kerangka ideologis yang menyertainya.</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teknis, pendekatan kualitatif-deskriptif bekerja dengan menganalisis isi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(content)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konteks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(context)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dokumen resmi Anggaran Pendapatan dan Belanja Negara (APBN) yang diterbitkan oleh Kementerian Keuangan Republik Indonesia. Proses ini dilakukan melalui pembacaan mendalam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close reading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terhadap teks dokumen guna mengidentifikasi tujuan kebijakan, alokasi anggaran, serta tema strategis yang diusung setiap tahun. Data yang dikumpulkan meliputi kutipan langsung, tema naratif, serta pernyataan kebijakan dari bagian pendahuluan dan ringkasan eksekutif dokumen. Tujuan dari tahap ini adalah membangun pemahaman interpretatif terhadap arah kebijakan fiskal Indonesia yang tidak dapat direduksi hanya pada angka-angka makro.</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Sementara itu, desain komparatif diterapkan dengan membandingkan isi ketiga dokumen APBN tahun anggaran 2024, 2025, dan Rencana APBN 2026. Perbandingan dilakukan secara longitudinal untuk menilai konsistensi, pergeseran fokus, dan perubahan struktur belanja serta narasi fiskal antar tahun. Teknik ini memungkinkan peneliti untuk mengamati perubahan secara bertahap dan mengidentifikasi evolusi kebijakan yang bersifat paradigmatik, yakni transisi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and sovereignty-oriented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Analisis komparatif juga digunakan untuk menilai bagaimana perubahan tema dan orientasi fiskal tersebut dikaitkan dengan agenda pembangunan nasional jangka panjang (RPJPN 2025–2045).</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keseluruhan, pendekatan ini mengacu pada model analisis kebijakan publik berbasis dokumen atau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policy content analysis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sebagaimana dikembangkan dalam studi-studi kebijakan fiskal kontemporer (Ramesh, 2025; Weber, 2025) Model ini menekankan pada interpretasi atas konten tertulis dari dokumen kebijakan sebagai sumber utama data, dengan memperhatikan struktur naratif, indikator fiskal, serta dimensi ideologis yang muncul dari formulasi kebijakan publik. Keunggulan pendekatan ini terletak pada kemampuannya menafsirkan kebijakan tidak hanya sebagai data, tetapi sebagai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teks politik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merepresentasikan dinamika kekuasaan, visi pembangunan, dan prioritas nasional suatu negara.</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Jenis dan Sumber Data</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menggunakan data sekunder yang bersumber dari dokumen resmi pemerintah, khususnya tiga publikasi utama Kementerian Keuangan Republik Indonesia melalui Direktorat Jenderal Anggaran, yaitu: </w:t>
      </w:r>
      <w:sdt>
        <w:sdtPr>
          <w:id w:val="1487169065"/>
          <w:tag w:val="goog_rdk_10"/>
        </w:sdtPr>
        <w:sdtContent>
          <w:commentRangeStart w:id="10"/>
        </w:sdtContent>
      </w:sdt>
      <w:sdt>
        <w:sdtPr>
          <w:id w:val="916775837"/>
          <w:tag w:val="goog_rdk_11"/>
        </w:sdtPr>
        <w:sdtContent>
          <w:commentRangeStart w:id="11"/>
        </w:sdtContent>
      </w:s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Tahun Anggaran 2024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(Kemenkeu, 2023), (2)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Tahun Anggaran 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(Kemenkeu, 2024), dan (3)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Siaran Pers RAPBN Tahun Anggaran 2026 – SP-19/KLI/2025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(Kemenkeu, 2025). </w:t>
      </w:r>
      <w:commentRangeEnd w:id="10"/>
      <w:r w:rsidDel="00000000" w:rsidR="00000000" w:rsidRPr="00000000">
        <w:commentReference w:id="10"/>
      </w:r>
      <w:commentRangeEnd w:id="11"/>
      <w:r w:rsidDel="00000000" w:rsidR="00000000" w:rsidRPr="00000000">
        <w:commentReference w:id="11"/>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Dokumen-dokumen tersebut dipilih karena memiliki status sebagai data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primer institusional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dianggap mewakili posisi fiskal resmi negara secara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komprehensif, aktual,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valid.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Seluruh data bersifat terbuka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open government data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dapat diverifikasi melalui situs resmi Kementerian Keuangan, menjadikannya sumber yang kredibel dalam studi kebijakan publik berbasis dokumen.</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Untuk memperjelas cakupan data yang dikaji, berikut disajikan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Tabel 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sebagai rangkuman:</w:t>
      </w:r>
    </w:p>
    <w:p w:rsidR="00000000" w:rsidDel="00000000" w:rsidP="00000000" w:rsidRDefault="00000000" w:rsidRPr="00000000" w14:paraId="000000F8">
      <w:pPr>
        <w:pStyle w:val="Heading4"/>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0"/>
          <w:bCs w:val="0"/>
          <w:color w:val="000000"/>
          <w:rtl w:val="0"/>
        </w:rPr>
        <w:t xml:space="preserve">Tabel 1. Sumber dan Jenis Informasi yang Dikaji dalam Dokumen APBN 2024–2026</w:t>
      </w:r>
      <w:r w:rsidDel="00000000" w:rsidR="00000000" w:rsidRPr="00000000">
        <w:rPr>
          <w:rtl w:val="0"/>
        </w:rPr>
      </w:r>
    </w:p>
    <w:tbl>
      <w:tblPr>
        <w:tblStyle w:val="Table4"/>
        <w:tblW w:w="9016.0" w:type="dxa"/>
        <w:jc w:val="left"/>
        <w:tblBorders>
          <w:top w:color="000000" w:space="0" w:sz="4" w:val="single"/>
          <w:left w:color="000000" w:space="0" w:sz="4" w:val="single"/>
          <w:right w:color="000000" w:space="0" w:sz="4" w:val="single"/>
        </w:tblBorders>
        <w:tblLayout w:type="fixed"/>
        <w:tblLook w:val="0400"/>
      </w:tblPr>
      <w:tblGrid>
        <w:gridCol w:w="1559"/>
        <w:gridCol w:w="7457"/>
        <w:tblGridChange w:id="0">
          <w:tblGrid>
            <w:gridCol w:w="1559"/>
            <w:gridCol w:w="7457"/>
          </w:tblGrid>
        </w:tblGridChange>
      </w:tblGrid>
      <w:tr>
        <w:trPr>
          <w:cantSplit w:val="0"/>
          <w:tblHeader w:val="1"/>
        </w:trPr>
        <w:tc>
          <w:tcPr>
            <w:tcBorders>
              <w:top w:color="000000" w:space="0" w:sz="0" w:val="nil"/>
              <w:bottom w:color="000000" w:space="0" w:sz="4" w:val="single"/>
              <w:right w:color="000000" w:space="0" w:sz="4" w:val="single"/>
            </w:tcBorders>
            <w:vAlign w:val="center"/>
          </w:tcPr>
          <w:p w:rsidR="00000000" w:rsidDel="00000000" w:rsidP="00000000" w:rsidRDefault="00000000" w:rsidRPr="00000000" w14:paraId="000000F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Dokumen</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0F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Jenis Informasi yang Diambil</w:t>
            </w:r>
            <w:r w:rsidDel="00000000" w:rsidR="00000000" w:rsidRPr="00000000">
              <w:rPr>
                <w:rtl w:val="0"/>
              </w:rPr>
            </w:r>
          </w:p>
        </w:tc>
      </w:tr>
      <w:tr>
        <w:trPr>
          <w:cantSplit w:val="0"/>
          <w:tblHeader w:val="0"/>
        </w:trPr>
        <w:tc>
          <w:tcPr>
            <w:tcBorders>
              <w:top w:color="000000" w:space="0" w:sz="0" w:val="nil"/>
              <w:bottom w:color="000000" w:space="0" w:sz="4" w:val="single"/>
              <w:right w:color="000000" w:space="0" w:sz="4" w:val="single"/>
            </w:tcBorders>
            <w:vAlign w:val="center"/>
          </w:tcPr>
          <w:p w:rsidR="00000000" w:rsidDel="00000000" w:rsidP="00000000" w:rsidRDefault="00000000" w:rsidRPr="00000000" w14:paraId="000000FB">
            <w:pPr>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1"/>
                <w:bCs w:val="1"/>
                <w:rtl w:val="0"/>
              </w:rPr>
              <w:t xml:space="preserve">Informasi </w:t>
            </w:r>
            <w:r w:rsidDel="00000000" w:rsidR="00000000" w:rsidRPr="00000000">
              <w:rPr>
                <w:rtl w:val="0"/>
              </w:rPr>
            </w:r>
          </w:p>
          <w:p w:rsidR="00000000" w:rsidDel="00000000" w:rsidP="00000000" w:rsidRDefault="00000000" w:rsidRPr="00000000" w14:paraId="000000F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APBN 2024</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0F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Struktur pendapatan dan belanja; defisit; prioritas pembangunan nasional 2024; tema dan narasi kebijakan fiskal tahun 2024</w:t>
            </w:r>
          </w:p>
        </w:tc>
      </w:tr>
      <w:tr>
        <w:trPr>
          <w:cantSplit w:val="0"/>
          <w:tblHeader w:val="0"/>
        </w:trPr>
        <w:tc>
          <w:tcPr>
            <w:tcBorders>
              <w:top w:color="000000" w:space="0" w:sz="0" w:val="nil"/>
              <w:bottom w:color="000000" w:space="0" w:sz="4" w:val="single"/>
              <w:right w:color="000000" w:space="0" w:sz="4" w:val="single"/>
            </w:tcBorders>
            <w:vAlign w:val="center"/>
          </w:tcPr>
          <w:p w:rsidR="00000000" w:rsidDel="00000000" w:rsidP="00000000" w:rsidRDefault="00000000" w:rsidRPr="00000000" w14:paraId="000000FE">
            <w:pPr>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1"/>
                <w:bCs w:val="1"/>
                <w:rtl w:val="0"/>
              </w:rPr>
              <w:t xml:space="preserve">Informasi </w:t>
            </w:r>
            <w:r w:rsidDel="00000000" w:rsidR="00000000" w:rsidRPr="00000000">
              <w:rPr>
                <w:rtl w:val="0"/>
              </w:rPr>
            </w:r>
          </w:p>
          <w:p w:rsidR="00000000" w:rsidDel="00000000" w:rsidP="00000000" w:rsidRDefault="00000000" w:rsidRPr="00000000" w14:paraId="000000F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APBN 2025</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0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Perubahan komposisi belanja; arah kebijakan fiskal 2025; reformasi perpajakan; pembangunan SDM; transisi energi; investasi produktif</w:t>
            </w:r>
          </w:p>
        </w:tc>
      </w:tr>
      <w:tr>
        <w:trPr>
          <w:cantSplit w:val="0"/>
          <w:tblHeader w:val="0"/>
        </w:trPr>
        <w:tc>
          <w:tcPr>
            <w:tcBorders>
              <w:top w:color="000000" w:space="0" w:sz="0" w:val="nil"/>
              <w:bottom w:color="000000" w:space="0" w:sz="4" w:val="single"/>
              <w:right w:color="000000" w:space="0" w:sz="4" w:val="single"/>
            </w:tcBorders>
            <w:vAlign w:val="center"/>
          </w:tcPr>
          <w:p w:rsidR="00000000" w:rsidDel="00000000" w:rsidP="00000000" w:rsidRDefault="00000000" w:rsidRPr="00000000" w14:paraId="00000101">
            <w:pPr>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1"/>
                <w:bCs w:val="1"/>
                <w:rtl w:val="0"/>
              </w:rPr>
              <w:t xml:space="preserve">Siaran </w:t>
            </w:r>
            <w:r w:rsidDel="00000000" w:rsidR="00000000" w:rsidRPr="00000000">
              <w:rPr>
                <w:rtl w:val="0"/>
              </w:rPr>
            </w:r>
          </w:p>
          <w:p w:rsidR="00000000" w:rsidDel="00000000" w:rsidP="00000000" w:rsidRDefault="00000000" w:rsidRPr="00000000" w14:paraId="0000010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Pers RAPBN 2026</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0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Tema kedaulatan ekonomi; strategi pembiayaan; kebijakan bioenergi dan pangan; narasi kemandirian fiskal dan ketahanan strategis nasional</w:t>
            </w:r>
          </w:p>
        </w:tc>
      </w:tr>
      <w:tr>
        <w:trPr>
          <w:cantSplit w:val="0"/>
          <w:tblHeader w:val="0"/>
        </w:trPr>
        <w:tc>
          <w:tcPr>
            <w:tcBorders>
              <w:top w:color="000000" w:space="0" w:sz="0" w:val="nil"/>
              <w:bottom w:color="000000" w:space="0" w:sz="4" w:val="single"/>
              <w:right w:color="000000" w:space="0" w:sz="4" w:val="single"/>
            </w:tcBorders>
            <w:vAlign w:val="center"/>
          </w:tcPr>
          <w:p w:rsidR="00000000" w:rsidDel="00000000" w:rsidP="00000000" w:rsidRDefault="00000000" w:rsidRPr="00000000" w14:paraId="00000104">
            <w:pPr>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1"/>
                <w:bCs w:val="1"/>
                <w:rtl w:val="0"/>
              </w:rPr>
              <w:t xml:space="preserve">Nota Keuangan </w:t>
            </w:r>
            <w:r w:rsidDel="00000000" w:rsidR="00000000" w:rsidRPr="00000000">
              <w:rPr>
                <w:rtl w:val="0"/>
              </w:rPr>
            </w:r>
          </w:p>
          <w:p w:rsidR="00000000" w:rsidDel="00000000" w:rsidP="00000000" w:rsidRDefault="00000000" w:rsidRPr="00000000" w14:paraId="0000010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&amp; Pidato Menteri</w:t>
            </w:r>
            <w:r w:rsidDel="00000000" w:rsidR="00000000" w:rsidRPr="00000000">
              <w:rPr>
                <w:rtl w:val="0"/>
              </w:rPr>
            </w:r>
          </w:p>
        </w:tc>
        <w:tc>
          <w:tcPr>
            <w:tcBorders>
              <w:top w:color="000000" w:space="0" w:sz="0" w:val="nil"/>
              <w:bottom w:color="000000" w:space="0" w:sz="4" w:val="single"/>
            </w:tcBorders>
            <w:vAlign w:val="center"/>
          </w:tcPr>
          <w:p w:rsidR="00000000" w:rsidDel="00000000" w:rsidP="00000000" w:rsidRDefault="00000000" w:rsidRPr="00000000" w14:paraId="0000010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Justifikasi kebijakan; argumentasi politik fiskal; penyampaian arah kebijakan jangka menengah; koneksi dengan Visi Indonesia Emas 2045</w:t>
            </w:r>
          </w:p>
        </w:tc>
      </w:tr>
    </w:tbl>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Sumber: Penulis, 2025</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teknis, unit analisis dalam penelitian ini terdiri dari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empat komponen utama dalam struktur APBN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yaitu: 1.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Pendapatan Negara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yaitu Penerimaan perpajakan (PPh, PPN, cukai), Penerimaan Negara Bukan Pajak (PNBP), Hibah internasional (jika tersedia). 2.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Belanja Negara yaitu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Belanja Pemerintah Pusat (fungsi pendidikan, kesehatan, infrastruktur, perlindungan sosial) dan Transfer ke Daerah dan Dana Desa (TKDD). 3.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Defisit dan Pembiayaan Anggaran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yaitu Proporsi defisit terhadap PDBdan Sumber pembiayaan: utang, SBN, investasi, dan Saldo Anggaran Lebih (SAL). 4.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Prioritas dan Fokus Tematik Kebijakan Fiskal yaitu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Tema APBN tahunan, Arah kebijakan dan strategi pembangunan, Program strategis nasional dan orientasi ideologis fiscal.</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Keempat dimensi tersebut dikaji untuk mengungkap arah, rasionalitas, dan logika fiskal yang mendasari perumusan APBN setiap tahun. Penelaahan tidak hanya dilakukan terhadap nilai-nilai agregat fiskal, tetapi juga terhadap perubahan naratif, ideologi pembangunan, serta konsistensinya dengan sasaran pembangunan nasional sebagaimana tertuang dalam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Visi Indonesia Emas 2045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(Putra &amp; Satria, 2025; UN ESCAP, 2025)</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Prosedur Analisis Data</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dilakukan melalui tiga tahapan utama:</w:t>
      </w:r>
    </w:p>
    <w:p w:rsidR="00000000" w:rsidDel="00000000" w:rsidP="00000000" w:rsidRDefault="00000000" w:rsidRPr="00000000" w14:paraId="000001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Reduksi data, yaitu ekstraksi informasi kuantitatif dan kualitatif dari dokumen resmi, termasuk nilai agregat pendapatan, belanja, defisit, serta narasi kebijakan dan tema strategis setiap tahun;</w:t>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Kategorisasi tematik, yakni pengelompokan konten berdasarkan tiga fungsi fiskal yaitu alokatif, distributif, dan stabilisatif berdasarkan teori Musgrave (1959) serta model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fiscal framework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276"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komparatif longitudinal, yaitu membandingkan perubahan struktur, arah kebijakan, dan intensi fiskal dari tahun ke tahun untuk mengidentifikasi pola evolusi kebijakan dan transformasi paradigma fiskal nasional.</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Pendekatan ini mengintegrasikan kerangka teoritis dari Hujo &amp; Fuentes-Nieva, (2024) mengenai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fair fiscal contracts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dan Grabel, (2024) tentang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expanding fiscal space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konteks ekonomi berkembang.</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Validitas dan Reliabilitas Data</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Keabsahan hasil analisis dijaga melalui triangulasi sumber dan konsep. Triangulasi sumber dilakukan dengan membandingkan isi antar-dokumen APBN,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Nota Keuangan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pernyataan resmi pemerintah dalam konferensi pers tahunan. Triangulasi konsep dilakukan dengan membandingkan hasil temuan empiris dengan teori-teori tentang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sustainable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inclusive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sovereignty-oriented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Untuk memastikan kredibilitas dan konsistensi analisis, penelitian ini menerapkan audit trail dokumen dan peer debriefing dengan akademisi di bidang ekonomi publik dan kebijakan fiskal, sebagaimana direkomendasikan oleh (Weber, 2025) dalam studi kualitatif fiskal ASEAN.</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Teknik Analisis dan Interpretasi</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data bersifat deskriptif-interpretatif, menekankan pada pemaknaan naratif atas arah dan tujuan kebijakan fiskal ketimbang pengujian kausal kuantitatif. Data kuantitatif APBN (dalam triliun rupiah) digunakan sebagai basis pembacaan tren struktural, namun fokus utama diarahkan pada pola ideologis dan tematik yang mencerminkan pergeseran orientasi kebijakan fiskal nasional. Dengan demikian, hasil penelitian tidak hanya menampilkan perubahan numerik dalam postur fiskal, tetapi juga menafsirkan rasionalitas kebijakan dan ideologi pembangunan fiskal berdaulat yang melatarbelakanginya (Ramesh, 2025; Yang &amp; Weiguang, 2025).</w:t>
      </w:r>
    </w:p>
    <w:p w:rsidR="00000000" w:rsidDel="00000000" w:rsidP="00000000" w:rsidRDefault="00000000" w:rsidRPr="00000000" w14:paraId="00000115">
      <w:pP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120" w:before="120" w:line="276" w:lineRule="auto"/>
        <w:ind w:left="289" w:hanging="289"/>
        <w:jc w:val="both"/>
        <w:rPr>
          <w:rFonts w:ascii="Times New Roman" w:cs="Times New Roman" w:eastAsia="Times New Roman" w:hAnsi="Times New Roman"/>
          <w:b w:val="1"/>
          <w:bCs w:val="1"/>
          <w:smallCaps w:val="1"/>
          <w:color w:val="000000"/>
        </w:rPr>
      </w:pPr>
      <w:r w:rsidDel="00000000" w:rsidR="00000000" w:rsidRPr="00000000">
        <w:rPr>
          <w:rFonts w:ascii="Times New Roman" w:cs="Times New Roman" w:eastAsia="Times New Roman" w:hAnsi="Times New Roman"/>
          <w:b w:val="1"/>
          <w:bCs w:val="1"/>
          <w:color w:val="000000"/>
          <w:rtl w:val="0"/>
        </w:rPr>
        <w:t xml:space="preserve">ANALISIS DAN PEMBAHASAN</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terhadap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2024–2025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menunjukkan adanya pola evolusi yang konsisten dalam arah kebijakan fiskal nasional. Pemerintah Indonesia secara bertahap menggeser orientasi kebijakan dari fungsi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dominan selama masa krisis COVID-19 menuju peran yang lebih developmental dan strategis (Ramesh, 2025). Tahun 2024 menandai fase konsolidasi fiskal dengan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“Mempercepat Transformasi Ekonomi yang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menitikberatkan pada pengendalian inflasi, penguatan perlindungan sosial, serta reformasi struktural di sektor energi dan pangan. Selanjutnya,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“Akselerasi Pertumbuhan Ekonomi yang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APBN 2025 mempertegas orientasi fiskal produktif yang berfokus pada transformasi ekonomi hijau, peningkatan investasi SDM, dan pemerataan pembangunan regional. Adapun RAPBN 2026, dengan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“Kedaulatan Pangan, Energi, dan Ekonomi,”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menjadi representasi dari sovereignty-oriented fiscal policy, yakni pergeseran menuju kemandirian fiskal yang berkelanjutan dan berbasis nilai strategis nasional (Dorigné-Thomson, 2023b; Yang &amp; Weiguang, 2025).</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Konsistensi tema-tema APBN tersebut mencerminkan upaya pemerintah untuk menyeimbangkan antara stabilitas makroekonomi dan transformasi struktural, sekaligus menjawab tantangan global berupa fragmentasi perdagangan dan perubahan iklim (UN ESCAP, 2025). Pergeseran arah kebijakan fiskal Indonesia mencerminkan bentuk transformasi negara dalam tata kelola fiskal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state transformation in fiscal governance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yakni perubahan paradigma dari negara reaktif terhadap krisis menuju negara proaktif dalam membangun kapasitas produktif dan ketahanan ekonomi.</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historis, APBN 2024 menjadi titik balik dari rezim kebijakan fiskal darurat (2020–2023) ke fase pembangunan yang berimbang dan berkelanjutan (Weber, 2025). Pemerintah berhasil mengembalikan defisit anggaran di bawah 3 persen PDB, sejalan dengan penerapan prinsip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rule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prudent namun ekspansif secara selektif, sebagaimana direkomendasikan oleh OECD dan IMF dalam laporan kebijakan fiskal Asia Tenggara (2024). Kebijakan ini menandai terbentuknya fiscal credibility baru, di mana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prudence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fiskal tidak lagi bertentangan dengan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growth-oriented spending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melainkan menjadi dasar untuk inclusive recovery. Hal ini selaras dengan konsep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fiscal state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mana negara memainkan peran sentral dalam membangun daya saing ekonomi melalui pembiayaan publik yang terarah dan produktif (Grabel, 2024; Hujo &amp; Fuentes-Nieva, 2024).</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Dari sisi pendapatan negara, tren kenaikan yang konsisten selama periode 2024–2026 menunjukkan keberhasilan reformasi mobilisasi penerimaan negara pasca-implementasi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Undang-Undang Harmonisasi Peraturan Perpajakan (UU HPP)</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Total pendapatan meningkat dari Rp2.802,3 triliun pada 2024 menjadi Rp3.147,7 triliun pada 2026, dengan kontribusi penerimaan pajak yang semakin dominan. Kebijakan intensifikasi dan ekstensifikasi pajak digital memperluas basis wajib pajak tanpa mengorbankan iklim investasi, sejalan dengan strategi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broadening tax base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(Mpofu, 2023). Kebijakan ini mencerminkan optimalisasi fungsi stabilisatif dan alokatif fiskal, di mana pemerintah menyeimbangkan antara mobilisasi penerimaan dengan dukungan terhadap pertumbuhan jangka panjang. Lebih jauh, peningkatan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tax buoyancy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juga menjadi indikator keberhasilan fiskal inklusif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inclusive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mendukung redistribusi sosial dan penguatan daya beli masyarakat (Putra &amp; Satria, 2025a; Ramesh, 2025)</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Peningkatan Penerimaan Negara Bukan Pajak (PNBP) dari Rp492 triliun (2024) menjadi Rp455 triliun pada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menunjukkan adanya reorientasi kebijakan menuju pemanfaatan sumber daya alam yang berkelanjutan dan efisiensi pengelolaan aset negara. Meskipun nominalnya mengalami sedikit penyesuaian, proporsi PNBP terhadap total pendapatan negara tetap menunjukkan tren stabil, menandakan pergeseran dari ketergantungan terhadap komoditas primer menuju model pengelolaan nilai tambah nasional (Hujo &amp; Fuentes-Nieva, 2024) Kebijakan hilirisasi mineral dan pengembangan industri berbasis nikel, tembaga, serta energi baru terbarukan menjadi bagian dari strategi natural capital transformation, dimana sumber daya alam tidak lagi dieksploitasi sebagai komoditas mentah, melainkan diolah menjadi modal pembangunan berkelanjutan yang memperkuat struktur industri domestik (Putra &amp; Satria, 2025). Transformasi ini menandai pergeseran paradigma ekonomi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resource-based growth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knowledge-based and value-added economy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sejalan dengan arah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Visi Indonesia Emas 2045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agenda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green industrialization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ASEAN (UN ESCAP, 2025; Weber, 2025).</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Dari sisi belanja negara, arah kebijakan APBN 2024–2026 memperlihatkan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reallocation for productivity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yaitu pergeseran alokasi dari belanja konsumtif menuju belanja strategis yang berorientasi pada produktivitas jangka panjang. Total belanja negara meningkat dari Rp3.325,1 triliun pada 2024 menjadi Rp3.786,5 triliun dalam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namun struktur pengeluarannya semakin terarah pada sektor-sektor fundamental: pendidikan, kesehatan, perlindungan sosial, ketahanan pangan, dan energi. Pola ini merefleksikan konsep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productive fiscal stimulus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teori Keynesian modern, di mana pengeluaran publik difokuskan pada penciptaan kapasitas produksi, ketahanan sosial, dan efisiensi ekonomi struktural, bukan semata pada peningkatan konsumsi agregat (Ramesh, 2025). Kebijakan ini memperkuat fungsi distributif dan alokatif fiskal karena belanja diarahkan untuk mengurangi ketimpangan sosial sekaligus memperluas basis pertumbuhan produktif nasional. Temuan ini konsisten dengan hasil analisis OECD (2024) dan World Bank (2025) yang menilai reorientasi belanja Indonesia sebagai bentuk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innovation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ekonomi berdaya saing tinggi dan inklusif (Grabel, 2024).</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Peningkatan alokasi belanja pendidikan dan kesehatan dalam periode 2024–2026 memperkuat transformasi APBN menjadi anggaran investasi sosial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social investment budget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Anggaran pendidikan naik dari Rp665 triliun (2024) menjadi Rp757,8 triliun (RAPBN 2026), sedangkan kesehatan meningkat dari Rp187,5 triliun menjadi Rp244 triliun. Tren ini menunjukkan bahwa pemerintah memandang pendidikan dan kesehatan bukan sekadar fungsi pelayanan publik, tetapi investasi strategis dalam pembangunan manusia (Darmawan et al., 2024). Kebijakan pendidikan diarahkan untuk meningkatkan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learning outcomes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kesiapan digital, dan literasi finansial sebagai bagian dari strategi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human capital competitiveness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menghadapi transformasi teknologi global (Yang &amp; Weiguang, 2025). Sementara itu, peningkatan belanja kesehatan mencerminkan komitmen terhadap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health system resilience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fokus pada transformasi layanan primer, penguatan sistem pembiayaan JKN, dan percepatan penurunan stunting hingga target 14 persen pada 2024, sejalan dengan agenda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Indonesia Health Transformation Blueprint 2024–2026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Kementerian Kesehatan (Kemenkes, 2024; UN ESCAP, 2025). Dengan demikian, belanja sosial dalam APBN berfungsi ganda: sebagai instrumen fiskal stabilisasi jangka pendek dan strategi pembangunan manusia jangka panjang, yang memperkokoh fondasi ekonomi berkelanjutan dan berdaya saing global.</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Kebijakan perlindungan sosial Indonesia menunjukkan evolusi signifikan dari sekadar program kompensasi menuju model berbasis pemberdayaan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empowerment-based social protection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Anggaran perlindungan sosial yang mencapai Rp508,2 triliun dalam RAPBN 2026 tidak hanya memperluas jangkauan bantuan tunai dan subsidi, tetapi juga mengintegrasikan dimensi pemberdayaan ekonomi, seperti akses permodalan produktif, pelatihan kewirausahaan, dan integrasi dengan ekosistem UMKM digital. Pendekatan ini mencerminkan implementasi teori inclusive growth, di mana perlindungan sosial diposisikan sebagai katalis pembangunan ekonomi partisipatif, bukan sekadar instrumen redistribusi pendapatan (Hujo &amp; Fuentes-Nieva, 2024; Weber, 2025). Secara konseptual, fungsi distributif fiskal di sini bergeser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redistributive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productive distributive function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karena belanja sosial diarahkan untuk meningkatkan kapasitas dan resiliensi ekonomi kelompok miskin dan rentan. Reformulasi ini selaras dengan temuan UN ESCAP (2025) yang menilai kebijakan sosial berbasis pemberdayaan sebagai ciri utama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transformative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kawasan Asia-Pasifik. Lebih lanjut, integrasi program sosial seperti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Kartu Prakerja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Program Keluarga Harapan (PKH)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Mekaar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menjadi bukti sinergi lintas sektor dalam mewujudkan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social protection as investment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(Wahyudi et al., 2024). Dengan demikian, APBN tidak hanya berfungsi sebagai alat fiskal stabilisasi, tetapi juga mekanisme pembangunan kapasitas manusia yang inklusif dan berkelanjutan.</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Dari perspektif pembiayaan dan defisit anggaran, pemerintah menerapkan prinsip sustainable fiscal expansion, yaitu memperluas kapasitas pembiayaan pembangunan tanpa menimbulkan risiko fiskal jangka panjang. Defisit dijaga konsisten di bawah 3 persen terhadap PDB (2,29–2,48 persen), sejalan dengan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consolidation framework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diterapkan di banyak negara pasca-pandemi. Fokus pembiayaan diarahkan pada skema kreatif dan kolaboratif, seperti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Kerjasama Pemerintah dan Badan Usaha (KPBU)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pemanfaatan Saldo Anggaran Lebih (SAL), serta optimalisasi peran Special Mission Vehicle (SMV) dan Badan Layanan Umum (BLU) dalam sektor-sektor strategis seperti energi, transportasi, dan infrastruktur digital. Kebijakan ini menggambarkan penerapan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blended financing model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banyak diadopsi oleh negara maju untuk meningkatkan efisiensi fiskal dan memperluas ruang pembiayaan pembangunan (Grabel, 2024). Secara teoretis, strategi ini memperkuat prinsip fiscal sovereignty, karena negara mampu membiayai agenda pembangunan prioritas tanpa ketergantungan berlebihan pada pinjaman luar negeri. Model ini konsisten dengan pendekatan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endogenous fiscal autonomy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diperkenalkan oleh Ramesh (2025) di mana kemandirian fiskal menjadi basis legitimasi negara dalam menentukan arah pembangunan nasional. Pendekatan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multi-instrumental financing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ini juga dinilai oleh OECD (2024) sebagai praktik baik dalam mewujudkan fiscal innovation di negara berkembang, terutama dalam konteks integrasi tujuan fiskal dengan agenda pembangunan berkelanjutan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SDGs financing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Analisis tematik terhadap dokumen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Informasi APBN 2024–2026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menunjukkan adanya pergeseran narasi kebijakan fiskal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policy narrative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konsisten dan ideologis.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“Transformasi Ekonomi Inklusif”</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(2024) mencerminkan pendekatan reaktif terhadap ketidakpastian global dan dampak pasca-pandemi, menekankan stabilitas makro dan perlindungan sosial.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“Akselerasi Pertumbuhan Inklusif dan Berkelanjutan”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(2025) berkarakter reformis dan pro-investasi, menandai fase transisi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growth-oriented fiscal regime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Sementara tema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“Kedaulatan Pangan, Energi, dan Ekonomi”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(RAPBN 2026) menandai evolusi ideologis dan strategis, menempatkan kebijakan fiskal sebagai alat politik-ekonomi untuk memperkuat kemandirian nasional dan posisi Indonesia dalam arsitektur ekonomi global (Dorigné-Thomson, 2023). Pergeseran narasi ini menggambarkan perubahan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stabilization discourse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sovereignty discourse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kebijakan fiskal Indonesia. Dengan kata lain, APBN bukan lagi sekadar instrumen teknokratis, tetapi telah menjadi artikulator politik fiskal berdaulat menggabungkan dimensi ekonomi, ideologi, dan diplomasi fiskal nasional. Menurut Putra &amp; Satria, (2025), fase ini menjadi penanda lahirnya fiscal statecraft di Indonesia: yaitu penggunaan kebijakan fiskal sebagai instrumen kekuasaan negara untuk mengatur dan mengarahkan ekonomi dalam kerangka pembangunan berdaulat.</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Hasil analisis ini menggambarkan pergeseran dominasi fungsi fiskal yang dinamis sepanjang periode 2024–2026. Tahun 2024 didominasi oleh fungsi stabilisatif, di mana kebijakan fiskal diarahkan untuk menahan tekanan inflasi dan menjaga daya beli masyarakat melalui instrumen kompensasi dan pengendalian harga. Tahun 2025 menonjolkan fungsi alokatif, dengan fokus pada efisiensi dan produktivitas belanja publik di sektor strategis seperti pendidikan, kesehatan, dan infrastruktur digital. Sementara itu,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RAPBN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menandai penguatan fungsi distributif melalui ekspansi program perlindungan sosial dan kebijakan pembangunan berdaulat berbasis kemandirian energi-pangan. Pergeseran bertahap ini menunjukkan kematangan siklus kebijakan fiskal Indonesia, yang adaptif terhadap tantangan jangka pendek namun tetap berorientasi pada transformasi struktural jangka panjang. Pola ini sejalan dengan kerangka teori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new developmentalism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menekankan peran aktif negara sebagai arsitek pembangunan, bukan sekadar regulator pasif. Seperti dijelaskan oleh </w:t>
      </w:r>
      <w:hyperlink r:id="rId10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Grabel (2024)</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dan </w:t>
      </w:r>
      <w:hyperlink r:id="rId10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Ramesh (2025)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model fiskal seperti ini memperkuat kedaulatan ekonomi melalui kebijakan yang menjaga stabilitas makro sekaligus menumbuhkan kapasitas produktif domestik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structural competitiveness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demikian, fungsi-fungsi fiskal Musgrave kini saling terintegrasi secara progresif, menandai pergeseran Indonesia menuju fase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adaptive fiscal governance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empiris, temuan ini memperlihatkan bahwa keberlanjutan fiskal Indonesia tetap terjaga di tengah tekanan global dan transisi politik domestik menjelang 2026. Pemerintah berhasil menjaga defisit anggaran di bawah 3 persen PDB (2,29–2,48 persen), menahan rasio utang pada level aman (sekitar 39 persen PDB), serta memperkuat struktur belanja produktif dan efisiensi subsidi. Keberhasilan ini mencerminkan tingkat fiscal discipline yang tinggi tanpa mengorbankan agenda pembangunan sosial dan investasi publik produktif. Dalam perspektif global, hal ini menandai transisi Indonesia menuju fase fiscal maturity, sebagaimana dikonsepkan oleh Hujo &amp; Fuentes-Nieva (2024) tahap di mana kebijakan fiskal berfungsi bukan hanya sebagai penopang stabilitas, tetapi juga sebagai alat strategis untuk memperkuat daya saing nasional dan mengurangi ketergantungan eksternal. Studi UN ESCAP, (2025) juga mencatat bahwa kredibilitas fiskal Indonesia yang terjaga selama periode pasca-pandemi memperkuat posisi negara dalam iklim investasi Asia Tenggara. Kestabilan fiskal yang inklusif ini meningkatkan kepercayaan investor dan memperkuat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 credit rating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Indonesia. Dengan demikian, konsistensi kebijakan fiskal selama periode transisi politik menegaskan kemampuan pemerintah untuk menyeimbangkan stabilitas makroekonomi dan keberlanjutan sosial-ekonomi, sebuah karakteristik penting dari negara dengan tata kelola fiskal matang dan kredibel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governance maturity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39677878"/>
          <w:tag w:val="goog_rdk_12"/>
        </w:sdtPr>
        <w:sdtContent>
          <w:commentRangeStart w:id="12"/>
        </w:sdtContent>
      </w:sdt>
      <w:sdt>
        <w:sdtPr>
          <w:id w:val="425163309"/>
          <w:tag w:val="goog_rdk_13"/>
        </w:sdtPr>
        <w:sdtContent>
          <w:commentRangeStart w:id="13"/>
        </w:sdtContent>
      </w:s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Secara keseluruhan, hasil analisis </w:t>
      </w:r>
      <w:commentRangeEnd w:id="12"/>
      <w:r w:rsidDel="00000000" w:rsidR="00000000" w:rsidRPr="00000000">
        <w:commentReference w:id="12"/>
      </w:r>
      <w:commentRangeEnd w:id="13"/>
      <w:r w:rsidDel="00000000" w:rsidR="00000000" w:rsidRPr="00000000">
        <w:commentReference w:id="13"/>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temuan dan analisis longitudinal terhadap dokumen APBN 2024, 2025, dan RAPBN 2026, dapat disimpulkan bahwa arah kebijakan fiskal Indonesia mengalami transformasi struktural dan ideologis yang signifikan, bergerak dari respons jangka pendek terhadap krisis menuju model pembangunan berdaulat yang menyeluruh. APBN tidak lagi sekadar berfungsi sebagai alat stabilisasi, tetapi telah berevolusi menjadi instrumen pembangunan multidimensi yang mengintegrasikan efisiensi fiskal, keberlanjutan sosial, dan nasionalisme ekonomi.</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Bagian ini secara langsung menjawab pertanyaan dan tujuan utama penelitian, yaitu bagaimana pola perubahan arah kebijakan fiskal Indonesia selama periode 2024-2026 mencerminkan pergeseran paradigma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fiscal management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and sovereignty-oriented fiscal governance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Analisis tematik atas narasi APBN, komposisi belanja, strategi pembiayaan, dan prioritas strategis fiskal menunjukkan bahwa kebijakan fiskal tidak hanya mengalami perubahan teknokratis, tetapi juga transformasi peran negara dalam pembangunan ekonomi. Dengan menempatkan pembangunan manusia serta kemandirian energi dan pangan sebagai pilar utama, arah kebijakan fiskal Indonesia secara konsisten bergerak menuju model pembangunan berdaulat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sovereignty-oriented fiscal model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yang menyeimbangkan antara otonomi fiskal nasional dan tanggung jawab sosial terhadap masyarakat. Model ini mencerminkan bentuk baru dari paradigma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state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 mana negara menggunakan kebijakan fiskal bukan hanya sebagai alat pengelolaan keuangan negara, melainkan sebagai instrumen politik ekonomi strategis untuk memperkuat kapasitas domestik, memperluas ruang fiskal jangka panjang, dan melindungi kedaulatan ekonomi (Putra &amp; Satria, 2025).</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Pendekatan ini juga memiliki relevansi luas bagi negara berkembang lain, khususnya di kawasan Asia dan Afrika, yang berupaya menavigasi antara stabilitas fiskal, keadilan sosial, dan kemandirian ekonomi di tengah realitas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post-globalization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(Weber, 2025). Selanjutnya, studi ini tidak hanya memberikan pemahaman baru atas arah kebijakan fiskal Indonesia, tetapi juga menempatkan Indonesia sebagai kasus rujukan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reference case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bagi praktik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statecraft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 negara berkembang. Dalam konteks ini, konsolidasi fiskal 2024-2026 dapat dipandang bukan sekadar sebagai kebijakan keuangan, melainkan sebagai manifestasi ideologi pembangunan berdaulat dalam tata kelola fiskal globalyang lebih inklusif dan strategis.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tabs>
          <w:tab w:val="left" w:leader="none" w:pos="360"/>
        </w:tabs>
        <w:spacing w:after="120" w:before="120" w:line="276"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120" w:before="120" w:line="276" w:lineRule="auto"/>
        <w:ind w:left="289" w:hanging="289"/>
        <w:rPr>
          <w:rFonts w:ascii="Times New Roman" w:cs="Times New Roman" w:eastAsia="Times New Roman" w:hAnsi="Times New Roman"/>
          <w:b w:val="1"/>
          <w:bCs w:val="1"/>
          <w:smallCaps w:val="1"/>
          <w:color w:val="000000"/>
        </w:rPr>
      </w:pPr>
      <w:r w:rsidDel="00000000" w:rsidR="00000000" w:rsidRPr="00000000">
        <w:rPr>
          <w:rFonts w:ascii="Times New Roman" w:cs="Times New Roman" w:eastAsia="Times New Roman" w:hAnsi="Times New Roman"/>
          <w:b w:val="1"/>
          <w:bCs w:val="1"/>
          <w:smallCaps w:val="1"/>
          <w:color w:val="000000"/>
          <w:rtl w:val="0"/>
        </w:rPr>
        <w:t xml:space="preserve">SIMPULAN, KETERBATASAN DAN SARAN</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Penelitian ini menyimpulkan bahwa kebijakan fiskal Indonesia periode 2024–2026 mengalami transformasi struktural yang signifikan, beralih dari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counter-cyclical recovery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menuju kerangka kebijakan fiskal berorientasi pembangunan dan kedaulatan nasional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and sovereignty-oriented fiscal framework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APBN pada periode ini secara konsisten mempertahankan defisit di bawah 3 persen terhadap PDB, mengimplementasikan reformasi dan digitalisasi perpajakan, serta mengalokasikan belanja secara lebih produktif ke sektor strategis seperti pendidikan, kesehatan, energi hijau, dan ketahanan pangan.</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sdt>
        <w:sdtPr>
          <w:id w:val="178867270"/>
          <w:tag w:val="goog_rdk_14"/>
        </w:sdtPr>
        <w:sdtContent>
          <w:commentRangeStart w:id="14"/>
        </w:sdtContent>
      </w:sdt>
      <w:sdt>
        <w:sdtPr>
          <w:id w:val="-1647279085"/>
          <w:tag w:val="goog_rdk_15"/>
        </w:sdtPr>
        <w:sdtContent>
          <w:commentRangeStart w:id="15"/>
        </w:sdtContent>
      </w:sdt>
      <w:sdt>
        <w:sdtPr>
          <w:id w:val="1711877252"/>
          <w:tag w:val="goog_rdk_16"/>
        </w:sdtPr>
        <w:sdtContent>
          <w:commentRangeStart w:id="16"/>
        </w:sdtContent>
      </w:s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Pergeseran ini menandai evolusi fungsi fiskal nasional dari stabilisatif pada 2024 menuju alokatif dan distributif pada 2025–2026, sebagaimana dijelaskan dalam model tiga fungsi fiskal Musgrave (1959). </w:t>
      </w:r>
      <w:commentRangeEnd w:id="14"/>
      <w:r w:rsidDel="00000000" w:rsidR="00000000" w:rsidRPr="00000000">
        <w:commentReference w:id="14"/>
      </w:r>
      <w:commentRangeEnd w:id="15"/>
      <w:r w:rsidDel="00000000" w:rsidR="00000000" w:rsidRPr="00000000">
        <w:commentReference w:id="15"/>
      </w:r>
      <w:commentRangeEnd w:id="16"/>
      <w:r w:rsidDel="00000000" w:rsidR="00000000" w:rsidRPr="00000000">
        <w:commentReference w:id="16"/>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sdt>
        <w:sdtPr>
          <w:id w:val="-1586739521"/>
          <w:tag w:val="goog_rdk_17"/>
        </w:sdtPr>
        <w:sdtContent>
          <w:commentRangeStart w:id="17"/>
        </w:sdtContent>
      </w:s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Temuan ini menunjukkan bahwa kebijakan fiskal tidak lagi difungsikan semata-mata untuk merespons krisis secara reaktif, tetapi telah menjadi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alat strategis untuk pembangunan berkelanjutan dan kemandirian nasional</w:t>
      </w:r>
      <w:commentRangeEnd w:id="17"/>
      <w:r w:rsidDel="00000000" w:rsidR="00000000" w:rsidRPr="00000000">
        <w:commentReference w:id="17"/>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Struktur dan narasi kebijakan fiskal Indonesia selama tiga tahun tersebut mencerminkan arah baru yang menggabungkan stabilitas makroekonomi, peningkatan efisiensi belanja, dan dukungan terhadap agenda Visi Indonesia Emas 2045. Secara teoritis, temuan ini menguatkan relevansi pendekatan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developmental fiscal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dalam konteks negara berkembang, di mana negara memainkan peran aktif dalam membentuk struktur ekonomi melalui instrumen fiskal yang inklusif dan kredibel.</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Meskipun demikian, penelitian ini memiliki beberapa keterbatasan. Pertama, analisis hanya menggunakan data dari dokumen fiskal makro resmi dan belum mencakup implementasi aktual di tingkat sektoral atau daerah. Kedua, pendekatan kualitatif-deskriptif berbasis dokumen tidak memungkinkan pengukuran kuantitatif dampak kebijakan terhadap indikator pembangunan seperti kemiskinan, ketimpangan, atau pertumbuhan hijau. Ketiga, periode observasi dibatasi pada tiga tahun fiskal dan belum dapat menangkap dinamika jangka menengah dalam konteks transisi pemerintahan dan tantangan global yang terus berkembang.</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Untuk penelitian selanjutnya, disarankan untuk mengombinasikan pendekatan kualitatif dengan metode kuantitatif seperti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computable general equilibrium (CGE)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atau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fiscal impact modeling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guna mengukur dampak spesifik dari kebijakan fiskal terhadap berbagai indikator ekonomi dan sosial. Pemerintah juga didorong untuk melanjutkan agenda reformasi fiskal yang adaptif, termasuk memperkuat kepatuhan pajak, memperluas PNBP yang berkelanjutan, dan mengintegrasikan prinsip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result-based budgeting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dengan agenda pembangunan hijau dan inklusif. Dengan demikian, arah kebijakan fiskal Indonesia dapat terus dikembangkan sebagai pilar utama tata kelola pembangunan yang berdaulat, berkelanjutan, dan adaptif terhadap dinamika global.</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spacing w:after="120" w:before="12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F">
      <w:pPr>
        <w:spacing w:after="120" w:before="120" w:line="276" w:lineRule="auto"/>
        <w:jc w:val="both"/>
        <w:rPr>
          <w:rFonts w:ascii="Times New Roman" w:cs="Times New Roman" w:eastAsia="Times New Roman" w:hAnsi="Times New Roman"/>
          <w:b w:val="1"/>
          <w:bCs w:val="1"/>
        </w:rPr>
      </w:pPr>
      <w:sdt>
        <w:sdtPr>
          <w:id w:val="1551527433"/>
          <w:tag w:val="goog_rdk_18"/>
        </w:sdtPr>
        <w:sdtContent>
          <w:commentRangeStart w:id="18"/>
        </w:sdtContent>
      </w:sdt>
      <w:sdt>
        <w:sdtPr>
          <w:id w:val="865420061"/>
          <w:tag w:val="goog_rdk_19"/>
        </w:sdtPr>
        <w:sdtContent>
          <w:commentRangeStart w:id="19"/>
        </w:sdtContent>
      </w:sdt>
      <w:r w:rsidDel="00000000" w:rsidR="00000000" w:rsidRPr="00000000">
        <w:rPr>
          <w:rFonts w:ascii="Times New Roman" w:cs="Times New Roman" w:eastAsia="Times New Roman" w:hAnsi="Times New Roman"/>
          <w:b w:val="1"/>
          <w:bCs w:val="1"/>
          <w:rtl w:val="0"/>
        </w:rPr>
        <w:t xml:space="preserve">DAFTAR PUSTAKA</w:t>
      </w:r>
      <w:commentRangeEnd w:id="18"/>
      <w:r w:rsidDel="00000000" w:rsidR="00000000" w:rsidRPr="00000000">
        <w:commentReference w:id="18"/>
      </w: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130">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Abdullah, I., Warviyan, D., Safrina, R., Utama, N. A., Tirta, A., Veza, I., &amp; Irianto, I. (2023). Green Fiscal Stimulus in Indonesia and Vietnam: A Reality Check of Two Emerging Economies. </w:t>
      </w:r>
      <w:r w:rsidDel="00000000" w:rsidR="00000000" w:rsidRPr="00000000">
        <w:rPr>
          <w:rFonts w:ascii="Times New Roman" w:cs="Times New Roman" w:eastAsia="Times New Roman" w:hAnsi="Times New Roman"/>
          <w:i w:val="1"/>
          <w:iCs w:val="1"/>
          <w:color w:val="000000"/>
          <w:rtl w:val="0"/>
        </w:rPr>
        <w:t xml:space="preserve">Sustainability</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15</w:t>
      </w:r>
      <w:r w:rsidDel="00000000" w:rsidR="00000000" w:rsidRPr="00000000">
        <w:rPr>
          <w:rFonts w:ascii="Times New Roman" w:cs="Times New Roman" w:eastAsia="Times New Roman" w:hAnsi="Times New Roman"/>
          <w:color w:val="000000"/>
          <w:rtl w:val="0"/>
        </w:rPr>
        <w:t xml:space="preserve">(3), 2174. https://doi.org/10.3390/su15032174</w:t>
      </w:r>
    </w:p>
    <w:p w:rsidR="00000000" w:rsidDel="00000000" w:rsidP="00000000" w:rsidRDefault="00000000" w:rsidRPr="00000000" w14:paraId="00000131">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Afkar, javier Luque, shinsaku., Nomura., jeffery Marshall, R. (2020).</w:t>
      </w:r>
      <w:r w:rsidDel="00000000" w:rsidR="00000000" w:rsidRPr="00000000">
        <w:rPr>
          <w:rFonts w:ascii="Times New Roman" w:cs="Times New Roman" w:eastAsia="Times New Roman" w:hAnsi="Times New Roman"/>
          <w:i w:val="1"/>
          <w:iCs w:val="1"/>
          <w:color w:val="000000"/>
          <w:rtl w:val="0"/>
        </w:rPr>
        <w:t xml:space="preserve">8. 14 THIS Report Was Prepared By</w:t>
      </w:r>
      <w:r w:rsidDel="00000000" w:rsidR="00000000" w:rsidRPr="00000000">
        <w:rPr>
          <w:rFonts w:ascii="Times New Roman" w:cs="Times New Roman" w:eastAsia="Times New Roman" w:hAnsi="Times New Roman"/>
          <w:color w:val="000000"/>
          <w:rtl w:val="0"/>
        </w:rPr>
        <w:t xml:space="preserve">. www.worldbank.org</w:t>
      </w:r>
    </w:p>
    <w:p w:rsidR="00000000" w:rsidDel="00000000" w:rsidP="00000000" w:rsidRDefault="00000000" w:rsidRPr="00000000" w14:paraId="00000132">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An, S. (2022). Changes, Challenges and Implications of Fiscal and Monetary Policy Directions in the Post Pandemic Era. </w:t>
      </w:r>
      <w:r w:rsidDel="00000000" w:rsidR="00000000" w:rsidRPr="00000000">
        <w:rPr>
          <w:rFonts w:ascii="Times New Roman" w:cs="Times New Roman" w:eastAsia="Times New Roman" w:hAnsi="Times New Roman"/>
          <w:i w:val="1"/>
          <w:iCs w:val="1"/>
          <w:color w:val="000000"/>
          <w:rtl w:val="0"/>
        </w:rPr>
        <w:t xml:space="preserve">SSRN Electronic Journal</w:t>
      </w:r>
      <w:r w:rsidDel="00000000" w:rsidR="00000000" w:rsidRPr="00000000">
        <w:rPr>
          <w:rFonts w:ascii="Times New Roman" w:cs="Times New Roman" w:eastAsia="Times New Roman" w:hAnsi="Times New Roman"/>
          <w:color w:val="000000"/>
          <w:rtl w:val="0"/>
        </w:rPr>
        <w:t xml:space="preserve">. https://doi.org/10.2139/ssrn.4055194</w:t>
      </w:r>
    </w:p>
    <w:p w:rsidR="00000000" w:rsidDel="00000000" w:rsidP="00000000" w:rsidRDefault="00000000" w:rsidRPr="00000000" w14:paraId="00000133">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Anugrah, D. F., Harun, C. A., Rahmawati, D., Ardiyono, S. K., &amp; Imron, H. J. (2024). </w:t>
      </w:r>
      <w:r w:rsidDel="00000000" w:rsidR="00000000" w:rsidRPr="00000000">
        <w:rPr>
          <w:rFonts w:ascii="Times New Roman" w:cs="Times New Roman" w:eastAsia="Times New Roman" w:hAnsi="Times New Roman"/>
          <w:i w:val="1"/>
          <w:iCs w:val="1"/>
          <w:color w:val="000000"/>
          <w:rtl w:val="0"/>
        </w:rPr>
        <w:t xml:space="preserve">Measuring Export Diversification Strategies Amid Global Geo-Economic Fragmentation</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222222"/>
          <w:highlight w:val="white"/>
          <w:rtl w:val="0"/>
        </w:rPr>
        <w:t xml:space="preserve">(No. WP/06/2024).</w:t>
      </w:r>
      <w:r w:rsidDel="00000000" w:rsidR="00000000" w:rsidRPr="00000000">
        <w:rPr>
          <w:rtl w:val="0"/>
        </w:rPr>
      </w:r>
    </w:p>
    <w:p w:rsidR="00000000" w:rsidDel="00000000" w:rsidP="00000000" w:rsidRDefault="00000000" w:rsidRPr="00000000" w14:paraId="00000134">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Bondarenco, A. (2025). The relationship between financial policy and the state budget. </w:t>
      </w:r>
      <w:r w:rsidDel="00000000" w:rsidR="00000000" w:rsidRPr="00000000">
        <w:rPr>
          <w:rFonts w:ascii="Times New Roman" w:cs="Times New Roman" w:eastAsia="Times New Roman" w:hAnsi="Times New Roman"/>
          <w:i w:val="1"/>
          <w:iCs w:val="1"/>
          <w:color w:val="000000"/>
          <w:rtl w:val="0"/>
        </w:rPr>
        <w:t xml:space="preserve">Simpozion Ştiinţific al Tinerilor Cercetători. Ediţia a 22-a. Culegere de Lucrări Ştiinţifice. Vol 1</w:t>
      </w:r>
      <w:r w:rsidDel="00000000" w:rsidR="00000000" w:rsidRPr="00000000">
        <w:rPr>
          <w:rFonts w:ascii="Times New Roman" w:cs="Times New Roman" w:eastAsia="Times New Roman" w:hAnsi="Times New Roman"/>
          <w:color w:val="000000"/>
          <w:rtl w:val="0"/>
        </w:rPr>
        <w:t xml:space="preserve">, 305–309. </w:t>
      </w:r>
      <w:hyperlink r:id="rId102">
        <w:r w:rsidDel="00000000" w:rsidR="00000000" w:rsidRPr="00000000">
          <w:rPr>
            <w:rFonts w:ascii="Times New Roman" w:cs="Times New Roman" w:eastAsia="Times New Roman" w:hAnsi="Times New Roman"/>
            <w:color w:val="000000"/>
            <w:sz w:val="24"/>
            <w:szCs w:val="24"/>
            <w:u w:val="none"/>
            <w:rtl w:val="0"/>
          </w:rPr>
          <w:t xml:space="preserve">https://doi.org/10.53486/sstc2024.v1.68</w:t>
        </w:r>
      </w:hyperlink>
      <w:r w:rsidDel="00000000" w:rsidR="00000000" w:rsidRPr="00000000">
        <w:rPr>
          <w:rtl w:val="0"/>
        </w:rPr>
      </w:r>
    </w:p>
    <w:p w:rsidR="00000000" w:rsidDel="00000000" w:rsidP="00000000" w:rsidRDefault="00000000" w:rsidRPr="00000000" w14:paraId="00000135">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Cahya, Dwi R. F., Hamimi, T. S., Reza Rahardian, M. P., &amp; Muksin, A. (2024). </w:t>
      </w:r>
      <w:r w:rsidDel="00000000" w:rsidR="00000000" w:rsidRPr="00000000">
        <w:rPr>
          <w:rFonts w:ascii="Times New Roman" w:cs="Times New Roman" w:eastAsia="Times New Roman" w:hAnsi="Times New Roman"/>
          <w:i w:val="1"/>
          <w:iCs w:val="1"/>
          <w:color w:val="000000"/>
          <w:rtl w:val="0"/>
        </w:rPr>
        <w:t xml:space="preserve">Zona Law And Public Admnistration Indonesia (Zlpai) Volume 2 Issue 3 (2024) The Function Of The State Revenue And Expenditure Budget Stabilizer In Supporting Development</w:t>
      </w:r>
      <w:r w:rsidDel="00000000" w:rsidR="00000000" w:rsidRPr="00000000">
        <w:rPr>
          <w:rFonts w:ascii="Times New Roman" w:cs="Times New Roman" w:eastAsia="Times New Roman" w:hAnsi="Times New Roman"/>
          <w:color w:val="000000"/>
          <w:rtl w:val="0"/>
        </w:rPr>
        <w:t xml:space="preserve">. https://ejournal.zona-edu.org/index.php/ZLPAI/index</w:t>
      </w:r>
    </w:p>
    <w:p w:rsidR="00000000" w:rsidDel="00000000" w:rsidP="00000000" w:rsidRDefault="00000000" w:rsidRPr="00000000" w14:paraId="00000136">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Cepparulo, A., &amp; Mourre, G. (2022). Fiscal policies-growth connection: which role for the budget composition? </w:t>
      </w:r>
      <w:r w:rsidDel="00000000" w:rsidR="00000000" w:rsidRPr="00000000">
        <w:rPr>
          <w:rFonts w:ascii="Times New Roman" w:cs="Times New Roman" w:eastAsia="Times New Roman" w:hAnsi="Times New Roman"/>
          <w:i w:val="1"/>
          <w:iCs w:val="1"/>
          <w:color w:val="000000"/>
          <w:rtl w:val="0"/>
        </w:rPr>
        <w:t xml:space="preserve">Applied Economics Letters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29</w:t>
      </w:r>
      <w:r w:rsidDel="00000000" w:rsidR="00000000" w:rsidRPr="00000000">
        <w:rPr>
          <w:rFonts w:ascii="Times New Roman" w:cs="Times New Roman" w:eastAsia="Times New Roman" w:hAnsi="Times New Roman"/>
          <w:color w:val="000000"/>
          <w:rtl w:val="0"/>
        </w:rPr>
        <w:t xml:space="preserve">(14), 1292–1299. https://doi.org/10.1080/13504851.2021.1927954</w:t>
      </w:r>
    </w:p>
    <w:p w:rsidR="00000000" w:rsidDel="00000000" w:rsidP="00000000" w:rsidRDefault="00000000" w:rsidRPr="00000000" w14:paraId="00000137">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Chohan, U. W. (2020). A Post-Coronavirus World: 7 Points of Discussion for a New Political Economy. </w:t>
      </w:r>
      <w:r w:rsidDel="00000000" w:rsidR="00000000" w:rsidRPr="00000000">
        <w:rPr>
          <w:rFonts w:ascii="Times New Roman" w:cs="Times New Roman" w:eastAsia="Times New Roman" w:hAnsi="Times New Roman"/>
          <w:i w:val="1"/>
          <w:iCs w:val="1"/>
          <w:color w:val="000000"/>
          <w:rtl w:val="0"/>
        </w:rPr>
        <w:t xml:space="preserve">SSRN Electronic Journal</w:t>
      </w:r>
      <w:r w:rsidDel="00000000" w:rsidR="00000000" w:rsidRPr="00000000">
        <w:rPr>
          <w:rFonts w:ascii="Times New Roman" w:cs="Times New Roman" w:eastAsia="Times New Roman" w:hAnsi="Times New Roman"/>
          <w:color w:val="000000"/>
          <w:rtl w:val="0"/>
        </w:rPr>
        <w:t xml:space="preserve">. https://doi.org/10.2139/ssrn.3557738</w:t>
      </w:r>
    </w:p>
    <w:p w:rsidR="00000000" w:rsidDel="00000000" w:rsidP="00000000" w:rsidRDefault="00000000" w:rsidRPr="00000000" w14:paraId="00000138">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Crystallin, M. (2022). Walking a Thin Line. In </w:t>
      </w:r>
      <w:r w:rsidDel="00000000" w:rsidR="00000000" w:rsidRPr="00000000">
        <w:rPr>
          <w:rFonts w:ascii="Times New Roman" w:cs="Times New Roman" w:eastAsia="Times New Roman" w:hAnsi="Times New Roman"/>
          <w:i w:val="1"/>
          <w:iCs w:val="1"/>
          <w:color w:val="000000"/>
          <w:rtl w:val="0"/>
        </w:rPr>
        <w:t xml:space="preserve">COVID-19 in Indonesia</w:t>
      </w:r>
      <w:r w:rsidDel="00000000" w:rsidR="00000000" w:rsidRPr="00000000">
        <w:rPr>
          <w:rFonts w:ascii="Times New Roman" w:cs="Times New Roman" w:eastAsia="Times New Roman" w:hAnsi="Times New Roman"/>
          <w:color w:val="000000"/>
          <w:rtl w:val="0"/>
        </w:rPr>
        <w:t xml:space="preserve"> (pp. 71–100). Routledge. https://doi.org/10.4324/9781003243670-4</w:t>
      </w:r>
    </w:p>
    <w:p w:rsidR="00000000" w:rsidDel="00000000" w:rsidP="00000000" w:rsidRDefault="00000000" w:rsidRPr="00000000" w14:paraId="00000139">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Darmawan, I. G. N., Suryadi, A., Budimansyah, D., &amp; Susilo, S. (2024). </w:t>
      </w:r>
      <w:r w:rsidDel="00000000" w:rsidR="00000000" w:rsidRPr="00000000">
        <w:rPr>
          <w:rFonts w:ascii="Times New Roman" w:cs="Times New Roman" w:eastAsia="Times New Roman" w:hAnsi="Times New Roman"/>
          <w:i w:val="1"/>
          <w:iCs w:val="1"/>
          <w:color w:val="000000"/>
          <w:rtl w:val="0"/>
        </w:rPr>
        <w:t xml:space="preserve">Indonesian Education</w:t>
      </w:r>
      <w:r w:rsidDel="00000000" w:rsidR="00000000" w:rsidRPr="00000000">
        <w:rPr>
          <w:rFonts w:ascii="Times New Roman" w:cs="Times New Roman" w:eastAsia="Times New Roman" w:hAnsi="Times New Roman"/>
          <w:color w:val="000000"/>
          <w:rtl w:val="0"/>
        </w:rPr>
        <w:t xml:space="preserve">. Routledge. https://doi.org/10.4324/9781032657400</w:t>
      </w:r>
    </w:p>
    <w:p w:rsidR="00000000" w:rsidDel="00000000" w:rsidP="00000000" w:rsidRDefault="00000000" w:rsidRPr="00000000" w14:paraId="0000013A">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Debabrata Patra, M. (2025). </w:t>
      </w:r>
      <w:r w:rsidDel="00000000" w:rsidR="00000000" w:rsidRPr="00000000">
        <w:rPr>
          <w:rFonts w:ascii="Times New Roman" w:cs="Times New Roman" w:eastAsia="Times New Roman" w:hAnsi="Times New Roman"/>
          <w:i w:val="1"/>
          <w:iCs w:val="1"/>
          <w:color w:val="000000"/>
          <w:rtl w:val="0"/>
        </w:rPr>
        <w:t xml:space="preserve">Testimonials of Tumultuous Times</w:t>
      </w:r>
      <w:r w:rsidDel="00000000" w:rsidR="00000000" w:rsidRPr="00000000">
        <w:rPr>
          <w:rFonts w:ascii="Times New Roman" w:cs="Times New Roman" w:eastAsia="Times New Roman" w:hAnsi="Times New Roman"/>
          <w:color w:val="000000"/>
          <w:rtl w:val="0"/>
        </w:rPr>
        <w:t xml:space="preserve">. Routledge. https://doi.org/10.4324/9781003613886</w:t>
      </w:r>
    </w:p>
    <w:p w:rsidR="00000000" w:rsidDel="00000000" w:rsidP="00000000" w:rsidRDefault="00000000" w:rsidRPr="00000000" w14:paraId="0000013B">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Dorigné-Thomson, C. (2023). Indonesian Foreign Policy’s Contemporary Evolution. In </w:t>
      </w:r>
      <w:r w:rsidDel="00000000" w:rsidR="00000000" w:rsidRPr="00000000">
        <w:rPr>
          <w:rFonts w:ascii="Times New Roman" w:cs="Times New Roman" w:eastAsia="Times New Roman" w:hAnsi="Times New Roman"/>
          <w:i w:val="1"/>
          <w:iCs w:val="1"/>
          <w:color w:val="000000"/>
          <w:rtl w:val="0"/>
        </w:rPr>
        <w:t xml:space="preserve">Indonesia’s Engagement with Africa</w:t>
      </w:r>
      <w:r w:rsidDel="00000000" w:rsidR="00000000" w:rsidRPr="00000000">
        <w:rPr>
          <w:rFonts w:ascii="Times New Roman" w:cs="Times New Roman" w:eastAsia="Times New Roman" w:hAnsi="Times New Roman"/>
          <w:color w:val="000000"/>
          <w:rtl w:val="0"/>
        </w:rPr>
        <w:t xml:space="preserve"> (pp. 67–127). Palgrave Macmillan. https://doi.org/10.1007/978-981-99-6651-6_2</w:t>
      </w:r>
    </w:p>
    <w:p w:rsidR="00000000" w:rsidDel="00000000" w:rsidP="00000000" w:rsidRDefault="00000000" w:rsidRPr="00000000" w14:paraId="0000013C">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Ela, N. (2025). </w:t>
      </w:r>
      <w:r w:rsidDel="00000000" w:rsidR="00000000" w:rsidRPr="00000000">
        <w:rPr>
          <w:rFonts w:ascii="Times New Roman" w:cs="Times New Roman" w:eastAsia="Times New Roman" w:hAnsi="Times New Roman"/>
          <w:i w:val="1"/>
          <w:iCs w:val="1"/>
          <w:color w:val="000000"/>
          <w:rtl w:val="0"/>
        </w:rPr>
        <w:t xml:space="preserve">Indonesia’s 2026 Green Budget Reform: Balancing Carbon Neutrality and Social Welfare</w:t>
      </w:r>
      <w:r w:rsidDel="00000000" w:rsidR="00000000" w:rsidRPr="00000000">
        <w:rPr>
          <w:rFonts w:ascii="Times New Roman" w:cs="Times New Roman" w:eastAsia="Times New Roman" w:hAnsi="Times New Roman"/>
          <w:color w:val="000000"/>
          <w:rtl w:val="0"/>
        </w:rPr>
        <w:t xml:space="preserve"> (Vol. 3, Issue 1).</w:t>
      </w:r>
    </w:p>
    <w:p w:rsidR="00000000" w:rsidDel="00000000" w:rsidP="00000000" w:rsidRDefault="00000000" w:rsidRPr="00000000" w14:paraId="0000013D">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Gamal, A., Ayu Wijayanti, N., Paramita Budi Utami, S., Khoirunisa, R., Kamila, N., Ahmad Gamal, L., Rohmah, L., Mushfiroh, A., Amalia, R., Jang Rohmah, H., &amp; Jang, H. (2024). </w:t>
      </w:r>
      <w:r w:rsidDel="00000000" w:rsidR="00000000" w:rsidRPr="00000000">
        <w:rPr>
          <w:rFonts w:ascii="Times New Roman" w:cs="Times New Roman" w:eastAsia="Times New Roman" w:hAnsi="Times New Roman"/>
          <w:i w:val="1"/>
          <w:iCs w:val="1"/>
          <w:color w:val="000000"/>
          <w:rtl w:val="0"/>
        </w:rPr>
        <w:t xml:space="preserve">SHARE HEIGHTS-FS (Higher Education Institutions Generating Holistic &amp; Transferable Solutions-Financial Sustainability) Indonesia,</w:t>
      </w:r>
      <w:r w:rsidDel="00000000" w:rsidR="00000000" w:rsidRPr="00000000">
        <w:rPr>
          <w:rFonts w:ascii="Times New Roman" w:cs="Times New Roman" w:eastAsia="Times New Roman" w:hAnsi="Times New Roman"/>
          <w:color w:val="000000"/>
          <w:rtl w:val="0"/>
        </w:rPr>
        <w:t xml:space="preserve">. https://doi.org/10.7274/rx913n23r39</w:t>
      </w:r>
    </w:p>
    <w:p w:rsidR="00000000" w:rsidDel="00000000" w:rsidP="00000000" w:rsidRDefault="00000000" w:rsidRPr="00000000" w14:paraId="0000013E">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Gayathri, R., Vijayabanu, C., &amp; Theresa, C. (2024). Economic Disruption and Global Obscurity – Insights and Challenges. In </w:t>
      </w:r>
      <w:r w:rsidDel="00000000" w:rsidR="00000000" w:rsidRPr="00000000">
        <w:rPr>
          <w:rFonts w:ascii="Times New Roman" w:cs="Times New Roman" w:eastAsia="Times New Roman" w:hAnsi="Times New Roman"/>
          <w:i w:val="1"/>
          <w:iCs w:val="1"/>
          <w:color w:val="000000"/>
          <w:rtl w:val="0"/>
        </w:rPr>
        <w:t xml:space="preserve">Economic Uncertainty in the Post-Pandemic Era </w:t>
      </w:r>
      <w:r w:rsidDel="00000000" w:rsidR="00000000" w:rsidRPr="00000000">
        <w:rPr>
          <w:rFonts w:ascii="Times New Roman" w:cs="Times New Roman" w:eastAsia="Times New Roman" w:hAnsi="Times New Roman"/>
          <w:color w:val="000000"/>
          <w:rtl w:val="0"/>
        </w:rPr>
        <w:t xml:space="preserve">(pp. 1–26). Routledge. https://doi.org/10.4324/9781003461074</w:t>
      </w:r>
    </w:p>
    <w:p w:rsidR="00000000" w:rsidDel="00000000" w:rsidP="00000000" w:rsidRDefault="00000000" w:rsidRPr="00000000" w14:paraId="0000013F">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Go, E., Hill, S., Jaber, M. H., Jinjarak, Y., Park, D., &amp; Ragos, A. (2024). Developing Asia’s fiscal landscape and challenges. </w:t>
      </w:r>
      <w:r w:rsidDel="00000000" w:rsidR="00000000" w:rsidRPr="00000000">
        <w:rPr>
          <w:rFonts w:ascii="Times New Roman" w:cs="Times New Roman" w:eastAsia="Times New Roman" w:hAnsi="Times New Roman"/>
          <w:i w:val="1"/>
          <w:iCs w:val="1"/>
          <w:color w:val="000000"/>
          <w:rtl w:val="0"/>
        </w:rPr>
        <w:t xml:space="preserve">Asian-Pacific Economic Literature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38</w:t>
      </w:r>
      <w:r w:rsidDel="00000000" w:rsidR="00000000" w:rsidRPr="00000000">
        <w:rPr>
          <w:rFonts w:ascii="Times New Roman" w:cs="Times New Roman" w:eastAsia="Times New Roman" w:hAnsi="Times New Roman"/>
          <w:color w:val="000000"/>
          <w:rtl w:val="0"/>
        </w:rPr>
        <w:t xml:space="preserve">(1), 225–258. https://doi.org/10.1111/apel.12412</w:t>
      </w:r>
    </w:p>
    <w:p w:rsidR="00000000" w:rsidDel="00000000" w:rsidP="00000000" w:rsidRDefault="00000000" w:rsidRPr="00000000" w14:paraId="00000140">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Grabel, I. (2024). </w:t>
      </w:r>
      <w:r w:rsidDel="00000000" w:rsidR="00000000" w:rsidRPr="00000000">
        <w:rPr>
          <w:rFonts w:ascii="Times New Roman" w:cs="Times New Roman" w:eastAsia="Times New Roman" w:hAnsi="Times New Roman"/>
          <w:i w:val="1"/>
          <w:iCs w:val="1"/>
          <w:color w:val="000000"/>
          <w:rtl w:val="0"/>
        </w:rPr>
        <w:t xml:space="preserve">Expanding, Creating, and Engendering Fiscal Space: Strategies Toward External Debt, Concessional Finance, and Special Drawing Rights</w:t>
      </w:r>
      <w:r w:rsidDel="00000000" w:rsidR="00000000" w:rsidRPr="00000000">
        <w:rPr>
          <w:rFonts w:ascii="Times New Roman" w:cs="Times New Roman" w:eastAsia="Times New Roman" w:hAnsi="Times New Roman"/>
          <w:color w:val="000000"/>
          <w:rtl w:val="0"/>
        </w:rPr>
        <w:t xml:space="preserve">. https://www.unwomen.org/sites/default/files/2023-12/Feminist-</w:t>
      </w:r>
    </w:p>
    <w:p w:rsidR="00000000" w:rsidDel="00000000" w:rsidP="00000000" w:rsidRDefault="00000000" w:rsidRPr="00000000" w14:paraId="00000141">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Hafel, M., &amp; Ibrahim, A. H. H. (2024). Budget politics in Indonesia. </w:t>
      </w:r>
      <w:r w:rsidDel="00000000" w:rsidR="00000000" w:rsidRPr="00000000">
        <w:rPr>
          <w:rFonts w:ascii="Times New Roman" w:cs="Times New Roman" w:eastAsia="Times New Roman" w:hAnsi="Times New Roman"/>
          <w:i w:val="1"/>
          <w:iCs w:val="1"/>
          <w:color w:val="000000"/>
          <w:rtl w:val="0"/>
        </w:rPr>
        <w:t xml:space="preserve">International Research Journal of Management, IT and Social Sciences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11</w:t>
      </w:r>
      <w:r w:rsidDel="00000000" w:rsidR="00000000" w:rsidRPr="00000000">
        <w:rPr>
          <w:rFonts w:ascii="Times New Roman" w:cs="Times New Roman" w:eastAsia="Times New Roman" w:hAnsi="Times New Roman"/>
          <w:color w:val="000000"/>
          <w:rtl w:val="0"/>
        </w:rPr>
        <w:t xml:space="preserve">(4), 159–168. https://doi.org/10.21744/irjmis.v11n4.2457</w:t>
      </w:r>
    </w:p>
    <w:p w:rsidR="00000000" w:rsidDel="00000000" w:rsidP="00000000" w:rsidRDefault="00000000" w:rsidRPr="00000000" w14:paraId="00000142">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Halimanjaya, A. (2019). The Political Economy of Indonesia’s Renewable Energy Sector and Its Fiscal Policy Gap. </w:t>
      </w:r>
      <w:r w:rsidDel="00000000" w:rsidR="00000000" w:rsidRPr="00000000">
        <w:rPr>
          <w:rFonts w:ascii="Times New Roman" w:cs="Times New Roman" w:eastAsia="Times New Roman" w:hAnsi="Times New Roman"/>
          <w:i w:val="1"/>
          <w:iCs w:val="1"/>
          <w:color w:val="000000"/>
          <w:rtl w:val="0"/>
        </w:rPr>
        <w:t xml:space="preserve">International Journal of Economics, Finance and Management Sciences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7</w:t>
      </w:r>
      <w:r w:rsidDel="00000000" w:rsidR="00000000" w:rsidRPr="00000000">
        <w:rPr>
          <w:rFonts w:ascii="Times New Roman" w:cs="Times New Roman" w:eastAsia="Times New Roman" w:hAnsi="Times New Roman"/>
          <w:color w:val="000000"/>
          <w:rtl w:val="0"/>
        </w:rPr>
        <w:t xml:space="preserve">(2), 45. https://doi.org/10.11648/j.ijefm.20190702.12</w:t>
      </w:r>
    </w:p>
    <w:p w:rsidR="00000000" w:rsidDel="00000000" w:rsidP="00000000" w:rsidRDefault="00000000" w:rsidRPr="00000000" w14:paraId="00000143">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Hidayat, A., Sugiarto, L., &amp; Pujiono, P. (2021). Restoring Social Justice Through Legal Literacy and Digital Ethics after Covid-19 Pandemic in Indonesia. </w:t>
      </w:r>
      <w:r w:rsidDel="00000000" w:rsidR="00000000" w:rsidRPr="00000000">
        <w:rPr>
          <w:rFonts w:ascii="Times New Roman" w:cs="Times New Roman" w:eastAsia="Times New Roman" w:hAnsi="Times New Roman"/>
          <w:i w:val="1"/>
          <w:iCs w:val="1"/>
          <w:color w:val="000000"/>
          <w:rtl w:val="0"/>
        </w:rPr>
        <w:t xml:space="preserve">Proceedings of the 4th International Conference on Indonesian Legal Studies, ICILS 2021, June 8-9 2021, Semarang, Indonesia</w:t>
      </w:r>
      <w:r w:rsidDel="00000000" w:rsidR="00000000" w:rsidRPr="00000000">
        <w:rPr>
          <w:rFonts w:ascii="Times New Roman" w:cs="Times New Roman" w:eastAsia="Times New Roman" w:hAnsi="Times New Roman"/>
          <w:color w:val="000000"/>
          <w:rtl w:val="0"/>
        </w:rPr>
        <w:t xml:space="preserve">. https://doi.org/10.4108/eai.8-6-2021.2314377</w:t>
      </w:r>
    </w:p>
    <w:p w:rsidR="00000000" w:rsidDel="00000000" w:rsidP="00000000" w:rsidRDefault="00000000" w:rsidRPr="00000000" w14:paraId="00000144">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Hujo, K., &amp; Fuentes-Nieva, R. (2024). </w:t>
      </w:r>
      <w:r w:rsidDel="00000000" w:rsidR="00000000" w:rsidRPr="00000000">
        <w:rPr>
          <w:rFonts w:ascii="Times New Roman" w:cs="Times New Roman" w:eastAsia="Times New Roman" w:hAnsi="Times New Roman"/>
          <w:i w:val="1"/>
          <w:iCs w:val="1"/>
          <w:color w:val="000000"/>
          <w:rtl w:val="0"/>
        </w:rPr>
        <w:t xml:space="preserve">System Change for Economic Transformation: Toward Fair Fiscal Contracts</w:t>
      </w:r>
      <w:r w:rsidDel="00000000" w:rsidR="00000000" w:rsidRPr="00000000">
        <w:rPr>
          <w:rFonts w:ascii="Times New Roman" w:cs="Times New Roman" w:eastAsia="Times New Roman" w:hAnsi="Times New Roman"/>
          <w:color w:val="000000"/>
          <w:rtl w:val="0"/>
        </w:rPr>
        <w:t xml:space="preserve">. www.unrisd.org</w:t>
      </w:r>
    </w:p>
    <w:p w:rsidR="00000000" w:rsidDel="00000000" w:rsidP="00000000" w:rsidRDefault="00000000" w:rsidRPr="00000000" w14:paraId="00000145">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Idrus, A. (2024). Exploring Public Finance Policies: A Qualitative Inquiry into Fiscal Policy Analysis, Government Financial Management, and Public Sector Financial Health. </w:t>
      </w:r>
      <w:r w:rsidDel="00000000" w:rsidR="00000000" w:rsidRPr="00000000">
        <w:rPr>
          <w:rFonts w:ascii="Times New Roman" w:cs="Times New Roman" w:eastAsia="Times New Roman" w:hAnsi="Times New Roman"/>
          <w:i w:val="1"/>
          <w:iCs w:val="1"/>
          <w:color w:val="000000"/>
          <w:rtl w:val="0"/>
        </w:rPr>
        <w:t xml:space="preserve">Golden Ratio of Finance Management</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4</w:t>
      </w:r>
      <w:r w:rsidDel="00000000" w:rsidR="00000000" w:rsidRPr="00000000">
        <w:rPr>
          <w:rFonts w:ascii="Times New Roman" w:cs="Times New Roman" w:eastAsia="Times New Roman" w:hAnsi="Times New Roman"/>
          <w:color w:val="000000"/>
          <w:rtl w:val="0"/>
        </w:rPr>
        <w:t xml:space="preserve">(2), 87–99. https://doi.org/10.52970/grfm.v4i2.481</w:t>
      </w:r>
    </w:p>
    <w:p w:rsidR="00000000" w:rsidDel="00000000" w:rsidP="00000000" w:rsidRDefault="00000000" w:rsidRPr="00000000" w14:paraId="00000146">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Indrawati, S. M., Satriawan, E., &amp; Abdurohman. (2024). Indonesia’s Fiscal Policy in the Aftermath of the Pandemic. </w:t>
      </w:r>
      <w:r w:rsidDel="00000000" w:rsidR="00000000" w:rsidRPr="00000000">
        <w:rPr>
          <w:rFonts w:ascii="Times New Roman" w:cs="Times New Roman" w:eastAsia="Times New Roman" w:hAnsi="Times New Roman"/>
          <w:i w:val="1"/>
          <w:iCs w:val="1"/>
          <w:color w:val="000000"/>
          <w:rtl w:val="0"/>
        </w:rPr>
        <w:t xml:space="preserve">Bulletin of Indonesian Economic Studies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60</w:t>
      </w:r>
      <w:r w:rsidDel="00000000" w:rsidR="00000000" w:rsidRPr="00000000">
        <w:rPr>
          <w:rFonts w:ascii="Times New Roman" w:cs="Times New Roman" w:eastAsia="Times New Roman" w:hAnsi="Times New Roman"/>
          <w:color w:val="000000"/>
          <w:rtl w:val="0"/>
        </w:rPr>
        <w:t xml:space="preserve">(1), 1–33. https://doi.org/10.1080/00074918.2024.2335967</w:t>
      </w:r>
    </w:p>
    <w:p w:rsidR="00000000" w:rsidDel="00000000" w:rsidP="00000000" w:rsidRDefault="00000000" w:rsidRPr="00000000" w14:paraId="00000147">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Iskandar, A., Diklat, B., Makassar, K., &amp; Pertama, D. (2019). </w:t>
      </w:r>
      <w:r w:rsidDel="00000000" w:rsidR="00000000" w:rsidRPr="00000000">
        <w:rPr>
          <w:rFonts w:ascii="Times New Roman" w:cs="Times New Roman" w:eastAsia="Times New Roman" w:hAnsi="Times New Roman"/>
          <w:i w:val="1"/>
          <w:iCs w:val="1"/>
          <w:color w:val="000000"/>
          <w:rtl w:val="0"/>
        </w:rPr>
        <w:t xml:space="preserve">Informasi Artikel Abstrak Regional Government Spending Efficiency On Health And Education In Decentralization Era: Evidence From Indonesia (Period Of 2010 To 2017) Rahmaluddin Saragih 2)</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148">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Judijanto, L. (2025). Adaptive Fiscal Policy: Balancing Economic Stimulus And Budget Sustainability. </w:t>
      </w:r>
      <w:r w:rsidDel="00000000" w:rsidR="00000000" w:rsidRPr="00000000">
        <w:rPr>
          <w:rFonts w:ascii="Times New Roman" w:cs="Times New Roman" w:eastAsia="Times New Roman" w:hAnsi="Times New Roman"/>
          <w:i w:val="1"/>
          <w:iCs w:val="1"/>
          <w:color w:val="000000"/>
          <w:rtl w:val="0"/>
        </w:rPr>
        <w:t xml:space="preserve">International Journal Of Financial Economics (IJEFE)</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2</w:t>
      </w:r>
      <w:r w:rsidDel="00000000" w:rsidR="00000000" w:rsidRPr="00000000">
        <w:rPr>
          <w:rFonts w:ascii="Times New Roman" w:cs="Times New Roman" w:eastAsia="Times New Roman" w:hAnsi="Times New Roman"/>
          <w:color w:val="000000"/>
          <w:rtl w:val="0"/>
        </w:rPr>
        <w:t xml:space="preserve">(6), 602–611.</w:t>
      </w:r>
    </w:p>
    <w:p w:rsidR="00000000" w:rsidDel="00000000" w:rsidP="00000000" w:rsidRDefault="00000000" w:rsidRPr="00000000" w14:paraId="00000149">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Judijanto, L., &amp; Muthalib, D. A. (2025). The Role of Green Fiscal Policy in Supporting Green Governance and Green Economic Development. </w:t>
      </w:r>
      <w:r w:rsidDel="00000000" w:rsidR="00000000" w:rsidRPr="00000000">
        <w:rPr>
          <w:rFonts w:ascii="Times New Roman" w:cs="Times New Roman" w:eastAsia="Times New Roman" w:hAnsi="Times New Roman"/>
          <w:i w:val="1"/>
          <w:iCs w:val="1"/>
          <w:color w:val="000000"/>
          <w:rtl w:val="0"/>
        </w:rPr>
        <w:t xml:space="preserve">Journal of Islamic Economy</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2</w:t>
      </w:r>
      <w:r w:rsidDel="00000000" w:rsidR="00000000" w:rsidRPr="00000000">
        <w:rPr>
          <w:rFonts w:ascii="Times New Roman" w:cs="Times New Roman" w:eastAsia="Times New Roman" w:hAnsi="Times New Roman"/>
          <w:color w:val="000000"/>
          <w:rtl w:val="0"/>
        </w:rPr>
        <w:t xml:space="preserve">(2), 45–52. https://doi.org/10.62872/seqntv12</w:t>
      </w:r>
    </w:p>
    <w:p w:rsidR="00000000" w:rsidDel="00000000" w:rsidP="00000000" w:rsidRDefault="00000000" w:rsidRPr="00000000" w14:paraId="0000014A">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Kacaribu, F. N., &amp; Crystallin, M. (2025). Maintaining Macroeconomic Stability during the Pandemic. In </w:t>
      </w:r>
      <w:r w:rsidDel="00000000" w:rsidR="00000000" w:rsidRPr="00000000">
        <w:rPr>
          <w:rFonts w:ascii="Times New Roman" w:cs="Times New Roman" w:eastAsia="Times New Roman" w:hAnsi="Times New Roman"/>
          <w:i w:val="1"/>
          <w:iCs w:val="1"/>
          <w:color w:val="000000"/>
          <w:rtl w:val="0"/>
        </w:rPr>
        <w:t xml:space="preserve">Keeping Indonesia Safe from the COVID-19 Pandemic</w:t>
      </w:r>
      <w:r w:rsidDel="00000000" w:rsidR="00000000" w:rsidRPr="00000000">
        <w:rPr>
          <w:rFonts w:ascii="Times New Roman" w:cs="Times New Roman" w:eastAsia="Times New Roman" w:hAnsi="Times New Roman"/>
          <w:color w:val="000000"/>
          <w:rtl w:val="0"/>
        </w:rPr>
        <w:t xml:space="preserve"> (pp. 67–105). ISEAS Publishing.</w:t>
      </w:r>
    </w:p>
    <w:p w:rsidR="00000000" w:rsidDel="00000000" w:rsidP="00000000" w:rsidRDefault="00000000" w:rsidRPr="00000000" w14:paraId="0000014B">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Kemenkes. (2024). </w:t>
      </w:r>
      <w:r w:rsidDel="00000000" w:rsidR="00000000" w:rsidRPr="00000000">
        <w:rPr>
          <w:rFonts w:ascii="Times New Roman" w:cs="Times New Roman" w:eastAsia="Times New Roman" w:hAnsi="Times New Roman"/>
          <w:i w:val="1"/>
          <w:iCs w:val="1"/>
          <w:color w:val="000000"/>
          <w:rtl w:val="0"/>
        </w:rPr>
        <w:t xml:space="preserve">Laporan Kinerja 2024 Transformasi Berkelanjutan : Transformasi Menuju Indonesia Maju</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14C">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Khairi, R. F. (2024). Indonesia’s Fiscal Policy in the Midst of Recession and Post-Pandemic Recovery Reviewed from an Islamic Fiscal Perspective. In </w:t>
      </w:r>
      <w:r w:rsidDel="00000000" w:rsidR="00000000" w:rsidRPr="00000000">
        <w:rPr>
          <w:rFonts w:ascii="Times New Roman" w:cs="Times New Roman" w:eastAsia="Times New Roman" w:hAnsi="Times New Roman"/>
          <w:i w:val="1"/>
          <w:iCs w:val="1"/>
          <w:color w:val="000000"/>
          <w:rtl w:val="0"/>
        </w:rPr>
        <w:t xml:space="preserve">Jurnal Penelitian Hukum Ekonomi Syariah</w:t>
      </w:r>
      <w:r w:rsidDel="00000000" w:rsidR="00000000" w:rsidRPr="00000000">
        <w:rPr>
          <w:rFonts w:ascii="Times New Roman" w:cs="Times New Roman" w:eastAsia="Times New Roman" w:hAnsi="Times New Roman"/>
          <w:color w:val="000000"/>
          <w:rtl w:val="0"/>
        </w:rPr>
        <w:t xml:space="preserve"> (Vol. 9, Issue 2).</w:t>
      </w:r>
    </w:p>
    <w:p w:rsidR="00000000" w:rsidDel="00000000" w:rsidP="00000000" w:rsidRDefault="00000000" w:rsidRPr="00000000" w14:paraId="0000014D">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Lami, E., Imami, D., Pugh, G., &amp; Hashi, I. (2021). Fiscal performance and elections in the context of a transition economy. </w:t>
      </w:r>
      <w:r w:rsidDel="00000000" w:rsidR="00000000" w:rsidRPr="00000000">
        <w:rPr>
          <w:rFonts w:ascii="Times New Roman" w:cs="Times New Roman" w:eastAsia="Times New Roman" w:hAnsi="Times New Roman"/>
          <w:i w:val="1"/>
          <w:iCs w:val="1"/>
          <w:color w:val="000000"/>
          <w:rtl w:val="0"/>
        </w:rPr>
        <w:t xml:space="preserve">Economic Systems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45</w:t>
      </w:r>
      <w:r w:rsidDel="00000000" w:rsidR="00000000" w:rsidRPr="00000000">
        <w:rPr>
          <w:rFonts w:ascii="Times New Roman" w:cs="Times New Roman" w:eastAsia="Times New Roman" w:hAnsi="Times New Roman"/>
          <w:color w:val="000000"/>
          <w:rtl w:val="0"/>
        </w:rPr>
        <w:t xml:space="preserve">(2), 100886. https://doi.org/10.1016/j.ecosys.2021.100886</w:t>
      </w:r>
    </w:p>
    <w:p w:rsidR="00000000" w:rsidDel="00000000" w:rsidP="00000000" w:rsidRDefault="00000000" w:rsidRPr="00000000" w14:paraId="0000014E">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Leong, W. Y., Leong, Y. Z., &amp; Leong, W. S. (2024). Green Energy and Social Impacts for ASEAN. </w:t>
      </w:r>
      <w:r w:rsidDel="00000000" w:rsidR="00000000" w:rsidRPr="00000000">
        <w:rPr>
          <w:rFonts w:ascii="Times New Roman" w:cs="Times New Roman" w:eastAsia="Times New Roman" w:hAnsi="Times New Roman"/>
          <w:i w:val="1"/>
          <w:iCs w:val="1"/>
          <w:color w:val="000000"/>
          <w:rtl w:val="0"/>
        </w:rPr>
        <w:t xml:space="preserve">2024 9th International Conference on Applying New Technology in Green Buildings (ATiGB)</w:t>
      </w:r>
      <w:r w:rsidDel="00000000" w:rsidR="00000000" w:rsidRPr="00000000">
        <w:rPr>
          <w:rFonts w:ascii="Times New Roman" w:cs="Times New Roman" w:eastAsia="Times New Roman" w:hAnsi="Times New Roman"/>
          <w:color w:val="000000"/>
          <w:rtl w:val="0"/>
        </w:rPr>
        <w:t xml:space="preserve">, 428–431. https://doi.org/10.1109/ATiGB63471.2024.10717638</w:t>
      </w:r>
    </w:p>
    <w:p w:rsidR="00000000" w:rsidDel="00000000" w:rsidP="00000000" w:rsidRDefault="00000000" w:rsidRPr="00000000" w14:paraId="0000014F">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Luong, A. T., Nguyen, A. T. P., &amp; Nguyen, Q. T. (2025). Monetary policy spillovers in a fragmented world: the role of geopolitical risk pre- and post-COVID-19 pandemic. </w:t>
      </w:r>
      <w:r w:rsidDel="00000000" w:rsidR="00000000" w:rsidRPr="00000000">
        <w:rPr>
          <w:rFonts w:ascii="Times New Roman" w:cs="Times New Roman" w:eastAsia="Times New Roman" w:hAnsi="Times New Roman"/>
          <w:i w:val="1"/>
          <w:iCs w:val="1"/>
          <w:color w:val="000000"/>
          <w:rtl w:val="0"/>
        </w:rPr>
        <w:t xml:space="preserve">Journal of Economics and Development</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27</w:t>
      </w:r>
      <w:r w:rsidDel="00000000" w:rsidR="00000000" w:rsidRPr="00000000">
        <w:rPr>
          <w:rFonts w:ascii="Times New Roman" w:cs="Times New Roman" w:eastAsia="Times New Roman" w:hAnsi="Times New Roman"/>
          <w:color w:val="000000"/>
          <w:rtl w:val="0"/>
        </w:rPr>
        <w:t xml:space="preserve">(2), 175–191. https://doi.org/10.1108/JED-06-2024-0195</w:t>
      </w:r>
    </w:p>
    <w:p w:rsidR="00000000" w:rsidDel="00000000" w:rsidP="00000000" w:rsidRDefault="00000000" w:rsidRPr="00000000" w14:paraId="00000150">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Mahira, D. F., &amp; Karjoko, L. (2024). </w:t>
      </w:r>
      <w:r w:rsidDel="00000000" w:rsidR="00000000" w:rsidRPr="00000000">
        <w:rPr>
          <w:rFonts w:ascii="Times New Roman" w:cs="Times New Roman" w:eastAsia="Times New Roman" w:hAnsi="Times New Roman"/>
          <w:i w:val="1"/>
          <w:iCs w:val="1"/>
          <w:color w:val="000000"/>
          <w:rtl w:val="0"/>
        </w:rPr>
        <w:t xml:space="preserve">Trilemma of Stakeholders in Waste-Based Renewable Energy Management in Indonesia</w:t>
      </w:r>
      <w:r w:rsidDel="00000000" w:rsidR="00000000" w:rsidRPr="00000000">
        <w:rPr>
          <w:rFonts w:ascii="Times New Roman" w:cs="Times New Roman" w:eastAsia="Times New Roman" w:hAnsi="Times New Roman"/>
          <w:color w:val="000000"/>
          <w:rtl w:val="0"/>
        </w:rPr>
        <w:t xml:space="preserve"> (pp. 436–440). https://doi.org/10.2991/978-2-38476-218-7_73</w:t>
      </w:r>
    </w:p>
    <w:p w:rsidR="00000000" w:rsidDel="00000000" w:rsidP="00000000" w:rsidRDefault="00000000" w:rsidRPr="00000000" w14:paraId="00000151">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Mpofu, F. Y. (2023). Digital Entrepreneurship, Taxation of the Digital Economy, Digital Transformation, and Sustainable Development in Africa. In </w:t>
      </w:r>
      <w:r w:rsidDel="00000000" w:rsidR="00000000" w:rsidRPr="00000000">
        <w:rPr>
          <w:rFonts w:ascii="Times New Roman" w:cs="Times New Roman" w:eastAsia="Times New Roman" w:hAnsi="Times New Roman"/>
          <w:i w:val="1"/>
          <w:iCs w:val="1"/>
          <w:color w:val="000000"/>
          <w:rtl w:val="0"/>
        </w:rPr>
        <w:t xml:space="preserve">The Fourth Industrial Revolution in Africa</w:t>
      </w:r>
      <w:r w:rsidDel="00000000" w:rsidR="00000000" w:rsidRPr="00000000">
        <w:rPr>
          <w:rFonts w:ascii="Times New Roman" w:cs="Times New Roman" w:eastAsia="Times New Roman" w:hAnsi="Times New Roman"/>
          <w:color w:val="000000"/>
          <w:rtl w:val="0"/>
        </w:rPr>
        <w:t xml:space="preserve"> (pp. 193–219). https://doi.org/10.1007/978-3-031-28686-5_10</w:t>
      </w:r>
    </w:p>
    <w:p w:rsidR="00000000" w:rsidDel="00000000" w:rsidP="00000000" w:rsidRDefault="00000000" w:rsidRPr="00000000" w14:paraId="00000152">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Norrahman, R. A. (2024). Analysis of the Impact of Fiscal Policy on Economic Growth in Indonesia. In </w:t>
      </w:r>
      <w:r w:rsidDel="00000000" w:rsidR="00000000" w:rsidRPr="00000000">
        <w:rPr>
          <w:rFonts w:ascii="Times New Roman" w:cs="Times New Roman" w:eastAsia="Times New Roman" w:hAnsi="Times New Roman"/>
          <w:i w:val="1"/>
          <w:iCs w:val="1"/>
          <w:color w:val="000000"/>
          <w:rtl w:val="0"/>
        </w:rPr>
        <w:t xml:space="preserve">Informasi Artikel Abstract</w:t>
      </w:r>
      <w:r w:rsidDel="00000000" w:rsidR="00000000" w:rsidRPr="00000000">
        <w:rPr>
          <w:rFonts w:ascii="Times New Roman" w:cs="Times New Roman" w:eastAsia="Times New Roman" w:hAnsi="Times New Roman"/>
          <w:color w:val="000000"/>
          <w:rtl w:val="0"/>
        </w:rPr>
        <w:t xml:space="preserve"> (Vol. 1, Issue 1). https://journal.banjaresepacific.com/index.php/jsi</w:t>
      </w:r>
    </w:p>
    <w:p w:rsidR="00000000" w:rsidDel="00000000" w:rsidP="00000000" w:rsidRDefault="00000000" w:rsidRPr="00000000" w14:paraId="00000153">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OECD. (2024). </w:t>
      </w:r>
      <w:r w:rsidDel="00000000" w:rsidR="00000000" w:rsidRPr="00000000">
        <w:rPr>
          <w:rFonts w:ascii="Times New Roman" w:cs="Times New Roman" w:eastAsia="Times New Roman" w:hAnsi="Times New Roman"/>
          <w:i w:val="1"/>
          <w:iCs w:val="1"/>
          <w:color w:val="000000"/>
          <w:rtl w:val="0"/>
        </w:rPr>
        <w:t xml:space="preserve">OECD Economic Outlook,</w:t>
      </w:r>
      <w:r w:rsidDel="00000000" w:rsidR="00000000" w:rsidRPr="00000000">
        <w:rPr>
          <w:rFonts w:ascii="Times New Roman" w:cs="Times New Roman" w:eastAsia="Times New Roman" w:hAnsi="Times New Roman"/>
          <w:color w:val="000000"/>
          <w:rtl w:val="0"/>
        </w:rPr>
        <w:t xml:space="preserve"> (Vol. 2024). OECD Publishing. https://doi.org/10.1787/d8814e8b-en</w:t>
      </w:r>
    </w:p>
    <w:p w:rsidR="00000000" w:rsidDel="00000000" w:rsidP="00000000" w:rsidRDefault="00000000" w:rsidRPr="00000000" w14:paraId="00000154">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O’Reilly, P., Perret, S., &amp; Dender, K. Van. (2020). COVID-19 and Fiscal Policies: Tax and Fiscal Policy in Response to the Coronavirus Crisis: Strengthening Confidence and Resilience. </w:t>
      </w:r>
      <w:r w:rsidDel="00000000" w:rsidR="00000000" w:rsidRPr="00000000">
        <w:rPr>
          <w:rFonts w:ascii="Times New Roman" w:cs="Times New Roman" w:eastAsia="Times New Roman" w:hAnsi="Times New Roman"/>
          <w:i w:val="1"/>
          <w:iCs w:val="1"/>
          <w:color w:val="000000"/>
          <w:rtl w:val="0"/>
        </w:rPr>
        <w:t xml:space="preserve">Intertax</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48</w:t>
      </w:r>
      <w:r w:rsidDel="00000000" w:rsidR="00000000" w:rsidRPr="00000000">
        <w:rPr>
          <w:rFonts w:ascii="Times New Roman" w:cs="Times New Roman" w:eastAsia="Times New Roman" w:hAnsi="Times New Roman"/>
          <w:color w:val="000000"/>
          <w:rtl w:val="0"/>
        </w:rPr>
        <w:t xml:space="preserve">(Issue 8/9), 736–742. https://doi.org/10.54648/TAXI2020069</w:t>
      </w:r>
    </w:p>
    <w:p w:rsidR="00000000" w:rsidDel="00000000" w:rsidP="00000000" w:rsidRDefault="00000000" w:rsidRPr="00000000" w14:paraId="00000155">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Prayoga, A. Y. (2022). Research Trends in Public Budgeting for Half A Century. </w:t>
      </w:r>
      <w:r w:rsidDel="00000000" w:rsidR="00000000" w:rsidRPr="00000000">
        <w:rPr>
          <w:rFonts w:ascii="Times New Roman" w:cs="Times New Roman" w:eastAsia="Times New Roman" w:hAnsi="Times New Roman"/>
          <w:i w:val="1"/>
          <w:iCs w:val="1"/>
          <w:color w:val="000000"/>
          <w:rtl w:val="0"/>
        </w:rPr>
        <w:t xml:space="preserve">Innovation Business Management and Accounting Journal</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1</w:t>
      </w:r>
      <w:r w:rsidDel="00000000" w:rsidR="00000000" w:rsidRPr="00000000">
        <w:rPr>
          <w:rFonts w:ascii="Times New Roman" w:cs="Times New Roman" w:eastAsia="Times New Roman" w:hAnsi="Times New Roman"/>
          <w:color w:val="000000"/>
          <w:rtl w:val="0"/>
        </w:rPr>
        <w:t xml:space="preserve">(4), 104–116. https://doi.org/10.56070/ibmaj.v1i4.19</w:t>
      </w:r>
    </w:p>
    <w:p w:rsidR="00000000" w:rsidDel="00000000" w:rsidP="00000000" w:rsidRDefault="00000000" w:rsidRPr="00000000" w14:paraId="00000156">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Pulipaka, Sanjay., Srinivasan, Krishnan., &amp; Mayall, James. (2023). </w:t>
      </w:r>
      <w:r w:rsidDel="00000000" w:rsidR="00000000" w:rsidRPr="00000000">
        <w:rPr>
          <w:rFonts w:ascii="Times New Roman" w:cs="Times New Roman" w:eastAsia="Times New Roman" w:hAnsi="Times New Roman"/>
          <w:i w:val="1"/>
          <w:iCs w:val="1"/>
          <w:color w:val="000000"/>
          <w:rtl w:val="0"/>
        </w:rPr>
        <w:t xml:space="preserve">Power, Legitimacy And World Order  : changing contours of preconditions and</w:t>
      </w:r>
      <w:r w:rsidDel="00000000" w:rsidR="00000000" w:rsidRPr="00000000">
        <w:rPr>
          <w:rFonts w:ascii="Times New Roman" w:cs="Times New Roman" w:eastAsia="Times New Roman" w:hAnsi="Times New Roman"/>
          <w:color w:val="000000"/>
          <w:rtl w:val="0"/>
        </w:rPr>
        <w:t xml:space="preserve">. Routledge.</w:t>
      </w:r>
    </w:p>
    <w:p w:rsidR="00000000" w:rsidDel="00000000" w:rsidP="00000000" w:rsidRDefault="00000000" w:rsidRPr="00000000" w14:paraId="00000157">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Purwoko, P., &amp; Wibowo, T. (2020). The Role of Fiscal Policy to Increase Energy Security: Indonesian Case Study. </w:t>
      </w:r>
      <w:r w:rsidDel="00000000" w:rsidR="00000000" w:rsidRPr="00000000">
        <w:rPr>
          <w:rFonts w:ascii="Times New Roman" w:cs="Times New Roman" w:eastAsia="Times New Roman" w:hAnsi="Times New Roman"/>
          <w:i w:val="1"/>
          <w:iCs w:val="1"/>
          <w:color w:val="000000"/>
          <w:rtl w:val="0"/>
        </w:rPr>
        <w:t xml:space="preserve">Journal of Clean Energy Technologies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8</w:t>
      </w:r>
      <w:r w:rsidDel="00000000" w:rsidR="00000000" w:rsidRPr="00000000">
        <w:rPr>
          <w:rFonts w:ascii="Times New Roman" w:cs="Times New Roman" w:eastAsia="Times New Roman" w:hAnsi="Times New Roman"/>
          <w:color w:val="000000"/>
          <w:rtl w:val="0"/>
        </w:rPr>
        <w:t xml:space="preserve">(2), 11–15. https://doi.org/10.18178/JOCET.2020.8.2.518</w:t>
      </w:r>
    </w:p>
    <w:p w:rsidR="00000000" w:rsidDel="00000000" w:rsidP="00000000" w:rsidRDefault="00000000" w:rsidRPr="00000000" w14:paraId="00000158">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Putra, N. T. S. A., &amp; Satria, R. (2025a). </w:t>
      </w:r>
      <w:r w:rsidDel="00000000" w:rsidR="00000000" w:rsidRPr="00000000">
        <w:rPr>
          <w:rFonts w:ascii="Times New Roman" w:cs="Times New Roman" w:eastAsia="Times New Roman" w:hAnsi="Times New Roman"/>
          <w:i w:val="1"/>
          <w:iCs w:val="1"/>
          <w:color w:val="000000"/>
          <w:rtl w:val="0"/>
        </w:rPr>
        <w:t xml:space="preserve">Bridging the Gap: Indonesia and the Path to Sustainable Development in the Global South</w:t>
      </w:r>
      <w:r w:rsidDel="00000000" w:rsidR="00000000" w:rsidRPr="00000000">
        <w:rPr>
          <w:rFonts w:ascii="Times New Roman" w:cs="Times New Roman" w:eastAsia="Times New Roman" w:hAnsi="Times New Roman"/>
          <w:color w:val="000000"/>
          <w:rtl w:val="0"/>
        </w:rPr>
        <w:t xml:space="preserve"> (pp. 34–63). https://doi.org/10.2991/978-2-38476-368-9_5</w:t>
      </w:r>
    </w:p>
    <w:p w:rsidR="00000000" w:rsidDel="00000000" w:rsidP="00000000" w:rsidRDefault="00000000" w:rsidRPr="00000000" w14:paraId="00000159">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Putra, N. T. S. A., &amp; Satria, R. (2025b). </w:t>
      </w:r>
      <w:r w:rsidDel="00000000" w:rsidR="00000000" w:rsidRPr="00000000">
        <w:rPr>
          <w:rFonts w:ascii="Times New Roman" w:cs="Times New Roman" w:eastAsia="Times New Roman" w:hAnsi="Times New Roman"/>
          <w:i w:val="1"/>
          <w:iCs w:val="1"/>
          <w:color w:val="000000"/>
          <w:rtl w:val="0"/>
        </w:rPr>
        <w:t xml:space="preserve">Bridging the Gap: Indonesia and the Path to Sustainable Development in the Global South</w:t>
      </w:r>
      <w:r w:rsidDel="00000000" w:rsidR="00000000" w:rsidRPr="00000000">
        <w:rPr>
          <w:rFonts w:ascii="Times New Roman" w:cs="Times New Roman" w:eastAsia="Times New Roman" w:hAnsi="Times New Roman"/>
          <w:color w:val="000000"/>
          <w:rtl w:val="0"/>
        </w:rPr>
        <w:t xml:space="preserve"> (pp. 34–63). https://doi.org/10.2991/978-2-38476-368-9_5</w:t>
      </w:r>
    </w:p>
    <w:p w:rsidR="00000000" w:rsidDel="00000000" w:rsidP="00000000" w:rsidRDefault="00000000" w:rsidRPr="00000000" w14:paraId="0000015A">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Putri, D. A., &amp; Najicha, F. U. (2021). Reformasi Perpajakan Di Indonesia. </w:t>
      </w:r>
      <w:r w:rsidDel="00000000" w:rsidR="00000000" w:rsidRPr="00000000">
        <w:rPr>
          <w:rFonts w:ascii="Times New Roman" w:cs="Times New Roman" w:eastAsia="Times New Roman" w:hAnsi="Times New Roman"/>
          <w:i w:val="1"/>
          <w:iCs w:val="1"/>
          <w:color w:val="000000"/>
          <w:rtl w:val="0"/>
        </w:rPr>
        <w:t xml:space="preserve">Jurnal Hukum POSITUM</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6</w:t>
      </w:r>
      <w:r w:rsidDel="00000000" w:rsidR="00000000" w:rsidRPr="00000000">
        <w:rPr>
          <w:rFonts w:ascii="Times New Roman" w:cs="Times New Roman" w:eastAsia="Times New Roman" w:hAnsi="Times New Roman"/>
          <w:color w:val="000000"/>
          <w:rtl w:val="0"/>
        </w:rPr>
        <w:t xml:space="preserve">(2), 168–178.</w:t>
      </w:r>
    </w:p>
    <w:p w:rsidR="00000000" w:rsidDel="00000000" w:rsidP="00000000" w:rsidRDefault="00000000" w:rsidRPr="00000000" w14:paraId="0000015B">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Ramesh, S. (2025). The Future of Indonesia’s Economy (2024 and Beyond). In </w:t>
      </w:r>
      <w:r w:rsidDel="00000000" w:rsidR="00000000" w:rsidRPr="00000000">
        <w:rPr>
          <w:rFonts w:ascii="Times New Roman" w:cs="Times New Roman" w:eastAsia="Times New Roman" w:hAnsi="Times New Roman"/>
          <w:i w:val="1"/>
          <w:iCs w:val="1"/>
          <w:color w:val="000000"/>
          <w:rtl w:val="0"/>
        </w:rPr>
        <w:t xml:space="preserve">The Political Economy of Indonesia’s Economic Development, Volume II</w:t>
      </w:r>
      <w:r w:rsidDel="00000000" w:rsidR="00000000" w:rsidRPr="00000000">
        <w:rPr>
          <w:rFonts w:ascii="Times New Roman" w:cs="Times New Roman" w:eastAsia="Times New Roman" w:hAnsi="Times New Roman"/>
          <w:color w:val="000000"/>
          <w:rtl w:val="0"/>
        </w:rPr>
        <w:t xml:space="preserve"> (pp. 379–415). Springer Nature Switzerland. https://doi.org/10.1007/978-3-032-03140-2_12</w:t>
      </w:r>
    </w:p>
    <w:p w:rsidR="00000000" w:rsidDel="00000000" w:rsidP="00000000" w:rsidRDefault="00000000" w:rsidRPr="00000000" w14:paraId="0000015C">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Skidelsky, R. (2020). Economic Recovery in the Age of COVID-19. </w:t>
      </w:r>
      <w:r w:rsidDel="00000000" w:rsidR="00000000" w:rsidRPr="00000000">
        <w:rPr>
          <w:rFonts w:ascii="Times New Roman" w:cs="Times New Roman" w:eastAsia="Times New Roman" w:hAnsi="Times New Roman"/>
          <w:i w:val="1"/>
          <w:iCs w:val="1"/>
          <w:color w:val="000000"/>
          <w:rtl w:val="0"/>
        </w:rPr>
        <w:t xml:space="preserve">Intereconomics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55</w:t>
      </w:r>
      <w:r w:rsidDel="00000000" w:rsidR="00000000" w:rsidRPr="00000000">
        <w:rPr>
          <w:rFonts w:ascii="Times New Roman" w:cs="Times New Roman" w:eastAsia="Times New Roman" w:hAnsi="Times New Roman"/>
          <w:color w:val="000000"/>
          <w:rtl w:val="0"/>
        </w:rPr>
        <w:t xml:space="preserve">(6), 345–349. https://doi.org/10.1007/s10272-020-0929-6</w:t>
      </w:r>
    </w:p>
    <w:p w:rsidR="00000000" w:rsidDel="00000000" w:rsidP="00000000" w:rsidRDefault="00000000" w:rsidRPr="00000000" w14:paraId="0000015D">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Supriadi, I. (2024). Transformasi Sistem Perpajakan Menggunakan Teknologi Blockchain untuk Meningkatkan Transparansi dan Mengurangi Penyimpangan. </w:t>
      </w:r>
      <w:r w:rsidDel="00000000" w:rsidR="00000000" w:rsidRPr="00000000">
        <w:rPr>
          <w:rFonts w:ascii="Times New Roman" w:cs="Times New Roman" w:eastAsia="Times New Roman" w:hAnsi="Times New Roman"/>
          <w:i w:val="1"/>
          <w:iCs w:val="1"/>
          <w:color w:val="000000"/>
          <w:rtl w:val="0"/>
        </w:rPr>
        <w:t xml:space="preserve">Journal of Tax Policy, Economics, and Accounting</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15E">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Trisnantoro, L. (2022). Post-pandemic trajectory of health-reform financing in Indonesia. In </w:t>
      </w:r>
      <w:r w:rsidDel="00000000" w:rsidR="00000000" w:rsidRPr="00000000">
        <w:rPr>
          <w:rFonts w:ascii="Times New Roman" w:cs="Times New Roman" w:eastAsia="Times New Roman" w:hAnsi="Times New Roman"/>
          <w:i w:val="1"/>
          <w:iCs w:val="1"/>
          <w:color w:val="000000"/>
          <w:rtl w:val="0"/>
        </w:rPr>
        <w:t xml:space="preserve">In sickness and in health : diagnosing Indonesia</w:t>
      </w:r>
      <w:r w:rsidDel="00000000" w:rsidR="00000000" w:rsidRPr="00000000">
        <w:rPr>
          <w:rFonts w:ascii="Times New Roman" w:cs="Times New Roman" w:eastAsia="Times New Roman" w:hAnsi="Times New Roman"/>
          <w:color w:val="000000"/>
          <w:rtl w:val="0"/>
        </w:rPr>
        <w:t xml:space="preserve"> (p. 252). ISEAS-Yusof Ishak Institute.</w:t>
      </w:r>
    </w:p>
    <w:p w:rsidR="00000000" w:rsidDel="00000000" w:rsidP="00000000" w:rsidRDefault="00000000" w:rsidRPr="00000000" w14:paraId="0000015F">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Ulani, S. Y., &amp; Aprirachman, R. (2025). Post-Pandemic Economic Recovery In Indonesia: A Systematic Literature Review On Key Drivers, Challenges, And Policy Implications. </w:t>
      </w:r>
      <w:r w:rsidDel="00000000" w:rsidR="00000000" w:rsidRPr="00000000">
        <w:rPr>
          <w:rFonts w:ascii="Times New Roman" w:cs="Times New Roman" w:eastAsia="Times New Roman" w:hAnsi="Times New Roman"/>
          <w:i w:val="1"/>
          <w:iCs w:val="1"/>
          <w:color w:val="000000"/>
          <w:rtl w:val="0"/>
        </w:rPr>
        <w:t xml:space="preserve">Ecobisma (Jurnal Ekonomi, Bisnis Dan Manajemen)</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12</w:t>
      </w:r>
      <w:r w:rsidDel="00000000" w:rsidR="00000000" w:rsidRPr="00000000">
        <w:rPr>
          <w:rFonts w:ascii="Times New Roman" w:cs="Times New Roman" w:eastAsia="Times New Roman" w:hAnsi="Times New Roman"/>
          <w:color w:val="000000"/>
          <w:rtl w:val="0"/>
        </w:rPr>
        <w:t xml:space="preserve">(2), 196–209. https://doi.org/10.36987/ecobi.v12i2.7148</w:t>
      </w:r>
    </w:p>
    <w:p w:rsidR="00000000" w:rsidDel="00000000" w:rsidP="00000000" w:rsidRDefault="00000000" w:rsidRPr="00000000" w14:paraId="00000160">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UN ESCAP. (2025). </w:t>
      </w:r>
      <w:r w:rsidDel="00000000" w:rsidR="00000000" w:rsidRPr="00000000">
        <w:rPr>
          <w:rFonts w:ascii="Times New Roman" w:cs="Times New Roman" w:eastAsia="Times New Roman" w:hAnsi="Times New Roman"/>
          <w:i w:val="1"/>
          <w:iCs w:val="1"/>
          <w:color w:val="000000"/>
          <w:rtl w:val="0"/>
        </w:rPr>
        <w:t xml:space="preserve">Economic and Social Survey of Asia and the Pacific 2025</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161">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Wahyudi, R., Sondakh, F., Noor, V., &amp; Permatasari, A. R. (2024). </w:t>
      </w:r>
      <w:r w:rsidDel="00000000" w:rsidR="00000000" w:rsidRPr="00000000">
        <w:rPr>
          <w:rFonts w:ascii="Times New Roman" w:cs="Times New Roman" w:eastAsia="Times New Roman" w:hAnsi="Times New Roman"/>
          <w:i w:val="1"/>
          <w:iCs w:val="1"/>
          <w:color w:val="000000"/>
          <w:rtl w:val="0"/>
        </w:rPr>
        <w:t xml:space="preserve">Social Protection Inclusion in Indonesia’s Remote Areas Identifying and addressing gaps and challenges</w:t>
      </w:r>
      <w:r w:rsidDel="00000000" w:rsidR="00000000" w:rsidRPr="00000000">
        <w:rPr>
          <w:rFonts w:ascii="Times New Roman" w:cs="Times New Roman" w:eastAsia="Times New Roman" w:hAnsi="Times New Roman"/>
          <w:color w:val="000000"/>
          <w:rtl w:val="0"/>
        </w:rPr>
        <w:t xml:space="preserve">. www.worldbank.org</w:t>
      </w:r>
    </w:p>
    <w:p w:rsidR="00000000" w:rsidDel="00000000" w:rsidP="00000000" w:rsidRDefault="00000000" w:rsidRPr="00000000" w14:paraId="00000162">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Wawan Mulyawan, A., &amp; Alia, W. (2020). APBN DAN PENDAPATAN NASIONAL. </w:t>
      </w:r>
      <w:r w:rsidDel="00000000" w:rsidR="00000000" w:rsidRPr="00000000">
        <w:rPr>
          <w:rFonts w:ascii="Times New Roman" w:cs="Times New Roman" w:eastAsia="Times New Roman" w:hAnsi="Times New Roman"/>
          <w:i w:val="1"/>
          <w:iCs w:val="1"/>
          <w:color w:val="000000"/>
          <w:rtl w:val="0"/>
        </w:rPr>
        <w:t xml:space="preserve">SALAM: Islamic Economics Journal</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1</w:t>
      </w:r>
      <w:r w:rsidDel="00000000" w:rsidR="00000000" w:rsidRPr="00000000">
        <w:rPr>
          <w:rFonts w:ascii="Times New Roman" w:cs="Times New Roman" w:eastAsia="Times New Roman" w:hAnsi="Times New Roman"/>
          <w:color w:val="000000"/>
          <w:rtl w:val="0"/>
        </w:rPr>
        <w:t xml:space="preserve">(2), 59–67.</w:t>
      </w:r>
    </w:p>
    <w:p w:rsidR="00000000" w:rsidDel="00000000" w:rsidP="00000000" w:rsidRDefault="00000000" w:rsidRPr="00000000" w14:paraId="00000163">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Weber, M., Chaiechi, T., &amp; Beg, R. (2022). Inclusive Growth and Climate Change Mitigation Programs and Policies in the ASEAN: Fiscal Implications. </w:t>
      </w:r>
      <w:r w:rsidDel="00000000" w:rsidR="00000000" w:rsidRPr="00000000">
        <w:rPr>
          <w:rFonts w:ascii="Times New Roman" w:cs="Times New Roman" w:eastAsia="Times New Roman" w:hAnsi="Times New Roman"/>
          <w:i w:val="1"/>
          <w:iCs w:val="1"/>
          <w:color w:val="000000"/>
          <w:rtl w:val="0"/>
        </w:rPr>
        <w:t xml:space="preserve">Bulletin of Applied Economics</w:t>
      </w:r>
      <w:r w:rsidDel="00000000" w:rsidR="00000000" w:rsidRPr="00000000">
        <w:rPr>
          <w:rFonts w:ascii="Times New Roman" w:cs="Times New Roman" w:eastAsia="Times New Roman" w:hAnsi="Times New Roman"/>
          <w:color w:val="000000"/>
          <w:rtl w:val="0"/>
        </w:rPr>
        <w:t xml:space="preserve">, 189–220. https://doi.org/10.47260/bae/9212</w:t>
      </w:r>
    </w:p>
    <w:p w:rsidR="00000000" w:rsidDel="00000000" w:rsidP="00000000" w:rsidRDefault="00000000" w:rsidRPr="00000000" w14:paraId="00000164">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Weber, M. P. (2025). </w:t>
      </w:r>
      <w:r w:rsidDel="00000000" w:rsidR="00000000" w:rsidRPr="00000000">
        <w:rPr>
          <w:rFonts w:ascii="Times New Roman" w:cs="Times New Roman" w:eastAsia="Times New Roman" w:hAnsi="Times New Roman"/>
          <w:i w:val="1"/>
          <w:iCs w:val="1"/>
          <w:color w:val="000000"/>
          <w:rtl w:val="0"/>
        </w:rPr>
        <w:t xml:space="preserve">Inclusive growth &amp; climate change – a fiscal challenge for the ASEAN</w:t>
      </w:r>
      <w:r w:rsidDel="00000000" w:rsidR="00000000" w:rsidRPr="00000000">
        <w:rPr>
          <w:rFonts w:ascii="Times New Roman" w:cs="Times New Roman" w:eastAsia="Times New Roman" w:hAnsi="Times New Roman"/>
          <w:color w:val="000000"/>
          <w:rtl w:val="0"/>
        </w:rPr>
        <w:t xml:space="preserve">. https://doi.org/10.25903/n0y3%2Dn215</w:t>
      </w:r>
    </w:p>
    <w:p w:rsidR="00000000" w:rsidDel="00000000" w:rsidP="00000000" w:rsidRDefault="00000000" w:rsidRPr="00000000" w14:paraId="00000165">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World Bank. (2025). </w:t>
      </w:r>
      <w:r w:rsidDel="00000000" w:rsidR="00000000" w:rsidRPr="00000000">
        <w:rPr>
          <w:rFonts w:ascii="Times New Roman" w:cs="Times New Roman" w:eastAsia="Times New Roman" w:hAnsi="Times New Roman"/>
          <w:i w:val="1"/>
          <w:iCs w:val="1"/>
          <w:color w:val="000000"/>
          <w:rtl w:val="0"/>
        </w:rPr>
        <w:t xml:space="preserve">Global Economic Prospects</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166">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Yang, F., &amp; Weiguang, L. (2025). Multi-faceted fiscal research in interdisciplinary and globalization vision. In </w:t>
      </w:r>
      <w:r w:rsidDel="00000000" w:rsidR="00000000" w:rsidRPr="00000000">
        <w:rPr>
          <w:rFonts w:ascii="Times New Roman" w:cs="Times New Roman" w:eastAsia="Times New Roman" w:hAnsi="Times New Roman"/>
          <w:i w:val="1"/>
          <w:iCs w:val="1"/>
          <w:color w:val="000000"/>
          <w:rtl w:val="0"/>
        </w:rPr>
        <w:t xml:space="preserve">State Governance and Public Finance Theory</w:t>
      </w:r>
      <w:r w:rsidDel="00000000" w:rsidR="00000000" w:rsidRPr="00000000">
        <w:rPr>
          <w:rFonts w:ascii="Times New Roman" w:cs="Times New Roman" w:eastAsia="Times New Roman" w:hAnsi="Times New Roman"/>
          <w:color w:val="000000"/>
          <w:rtl w:val="0"/>
        </w:rPr>
        <w:t xml:space="preserve"> (pp. 87–100). Routledge. https://doi.org/10.4324/9781003562856-8</w:t>
      </w:r>
    </w:p>
    <w:p w:rsidR="00000000" w:rsidDel="00000000" w:rsidP="00000000" w:rsidRDefault="00000000" w:rsidRPr="00000000" w14:paraId="00000167">
      <w:pPr>
        <w:ind w:hanging="48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Yang, Y., Basdevant, O., Benicio, D., Balasundharam, V., Selim, H., Kim, Y., Ceber, A., &amp; Mazzone, L. (2023). Fiscal Consolidation: Taking Stock of Success Factors, Impact, and Design. </w:t>
      </w:r>
      <w:r w:rsidDel="00000000" w:rsidR="00000000" w:rsidRPr="00000000">
        <w:rPr>
          <w:rFonts w:ascii="Times New Roman" w:cs="Times New Roman" w:eastAsia="Times New Roman" w:hAnsi="Times New Roman"/>
          <w:i w:val="1"/>
          <w:iCs w:val="1"/>
          <w:color w:val="000000"/>
          <w:rtl w:val="0"/>
        </w:rPr>
        <w:t xml:space="preserve">IMF Working Papers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2023</w:t>
      </w:r>
      <w:r w:rsidDel="00000000" w:rsidR="00000000" w:rsidRPr="00000000">
        <w:rPr>
          <w:rFonts w:ascii="Times New Roman" w:cs="Times New Roman" w:eastAsia="Times New Roman" w:hAnsi="Times New Roman"/>
          <w:color w:val="000000"/>
          <w:rtl w:val="0"/>
        </w:rPr>
        <w:t xml:space="preserve">(063), 1. </w:t>
      </w:r>
      <w:hyperlink r:id="rId103">
        <w:r w:rsidDel="00000000" w:rsidR="00000000" w:rsidRPr="00000000">
          <w:rPr>
            <w:rFonts w:ascii="Times New Roman" w:cs="Times New Roman" w:eastAsia="Times New Roman" w:hAnsi="Times New Roman"/>
            <w:color w:val="000000"/>
            <w:sz w:val="24"/>
            <w:szCs w:val="24"/>
            <w:u w:val="none"/>
            <w:rtl w:val="0"/>
          </w:rPr>
          <w:t xml:space="preserve">https://doi.org/10.5089/9798400235221.001</w:t>
        </w:r>
      </w:hyperlink>
      <w:r w:rsidDel="00000000" w:rsidR="00000000" w:rsidRPr="00000000">
        <w:rPr>
          <w:rtl w:val="0"/>
        </w:rPr>
      </w:r>
    </w:p>
    <w:p w:rsidR="00000000" w:rsidDel="00000000" w:rsidP="00000000" w:rsidRDefault="00000000" w:rsidRPr="00000000" w14:paraId="00000168">
      <w:pPr>
        <w:ind w:hanging="480"/>
        <w:jc w:val="both"/>
        <w:rPr>
          <w:color w:val="000000"/>
        </w:rPr>
      </w:pPr>
      <w:r w:rsidDel="00000000" w:rsidR="00000000" w:rsidRPr="00000000">
        <w:rPr>
          <w:rFonts w:ascii="Times New Roman" w:cs="Times New Roman" w:eastAsia="Times New Roman" w:hAnsi="Times New Roman"/>
          <w:color w:val="000000"/>
          <w:rtl w:val="0"/>
        </w:rPr>
        <w:t xml:space="preserve">Yoganandham, G. (2024). Navigating Global Economic Dynamics: A Macroscopic Analysis Of Multilateralism, Recovery, And Fiscal Stability In A Post-Pandemic World. </w:t>
      </w:r>
      <w:r w:rsidDel="00000000" w:rsidR="00000000" w:rsidRPr="00000000">
        <w:rPr>
          <w:rFonts w:ascii="Times New Roman" w:cs="Times New Roman" w:eastAsia="Times New Roman" w:hAnsi="Times New Roman"/>
          <w:i w:val="1"/>
          <w:iCs w:val="1"/>
          <w:color w:val="000000"/>
          <w:rtl w:val="0"/>
        </w:rPr>
        <w:t xml:space="preserve">Degrés</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iCs w:val="1"/>
          <w:color w:val="000000"/>
          <w:rtl w:val="0"/>
        </w:rPr>
        <w:t xml:space="preserve">9</w:t>
      </w:r>
      <w:r w:rsidDel="00000000" w:rsidR="00000000" w:rsidRPr="00000000">
        <w:rPr>
          <w:rFonts w:ascii="Times New Roman" w:cs="Times New Roman" w:eastAsia="Times New Roman" w:hAnsi="Times New Roman"/>
          <w:color w:val="000000"/>
          <w:rtl w:val="0"/>
        </w:rPr>
        <w:t xml:space="preserve">(2).</w:t>
      </w:r>
      <w:r w:rsidDel="00000000" w:rsidR="00000000" w:rsidRPr="00000000">
        <w:rPr>
          <w:rFonts w:ascii="Times New Roman" w:cs="Times New Roman" w:eastAsia="Times New Roman" w:hAnsi="Times New Roman"/>
          <w:b w:val="1"/>
          <w:bCs w:val="1"/>
          <w:color w:val="000000"/>
          <w:rtl w:val="0"/>
        </w:rPr>
        <w:t xml:space="preserve"> </w:t>
      </w: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spacing w:after="120" w:before="120" w:line="276" w:lineRule="auto"/>
        <w:ind w:left="720" w:hanging="720"/>
        <w:jc w:val="both"/>
        <w:rPr/>
      </w:pPr>
      <w:r w:rsidDel="00000000" w:rsidR="00000000" w:rsidRPr="00000000">
        <w:rPr>
          <w:rtl w:val="0"/>
        </w:rPr>
      </w:r>
    </w:p>
    <w:p w:rsidR="00000000" w:rsidDel="00000000" w:rsidP="00000000" w:rsidRDefault="00000000" w:rsidRPr="00000000" w14:paraId="0000016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2743835"/>
            <wp:effectExtent b="0" l="0" r="0" t="0"/>
            <wp:docPr id="9" name="image3.png"/>
            <a:graphic>
              <a:graphicData uri="http://schemas.openxmlformats.org/drawingml/2006/picture">
                <pic:pic>
                  <pic:nvPicPr>
                    <pic:cNvPr id="0" name="image3.png"/>
                    <pic:cNvPicPr preferRelativeResize="0"/>
                  </pic:nvPicPr>
                  <pic:blipFill>
                    <a:blip r:embed="rId104"/>
                    <a:srcRect b="0" l="0" r="0" t="0"/>
                    <a:stretch>
                      <a:fillRect/>
                    </a:stretch>
                  </pic:blipFill>
                  <pic:spPr>
                    <a:xfrm>
                      <a:off x="0" y="0"/>
                      <a:ext cx="5731510" cy="2743835"/>
                    </a:xfrm>
                    <a:prstGeom prst="rect"/>
                    <a:ln/>
                  </pic:spPr>
                </pic:pic>
              </a:graphicData>
            </a:graphic>
          </wp:inline>
        </w:drawing>
      </w:r>
      <w:r w:rsidDel="00000000" w:rsidR="00000000" w:rsidRPr="00000000">
        <w:rPr>
          <w:rtl w:val="0"/>
        </w:rPr>
      </w:r>
    </w:p>
    <w:p w:rsidR="00000000" w:rsidDel="00000000" w:rsidP="00000000" w:rsidRDefault="00000000" w:rsidRPr="00000000" w14:paraId="0000016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4646295"/>
            <wp:effectExtent b="0" l="0" r="0" t="0"/>
            <wp:docPr id="8" name="image7.png"/>
            <a:graphic>
              <a:graphicData uri="http://schemas.openxmlformats.org/drawingml/2006/picture">
                <pic:pic>
                  <pic:nvPicPr>
                    <pic:cNvPr id="0" name="image7.png"/>
                    <pic:cNvPicPr preferRelativeResize="0"/>
                  </pic:nvPicPr>
                  <pic:blipFill>
                    <a:blip r:embed="rId105"/>
                    <a:srcRect b="0" l="0" r="0" t="0"/>
                    <a:stretch>
                      <a:fillRect/>
                    </a:stretch>
                  </pic:blipFill>
                  <pic:spPr>
                    <a:xfrm>
                      <a:off x="0" y="0"/>
                      <a:ext cx="5731510" cy="4646295"/>
                    </a:xfrm>
                    <a:prstGeom prst="rect"/>
                    <a:ln/>
                  </pic:spPr>
                </pic:pic>
              </a:graphicData>
            </a:graphic>
          </wp:inline>
        </w:drawing>
      </w:r>
      <w:r w:rsidDel="00000000" w:rsidR="00000000" w:rsidRPr="00000000">
        <w:rPr>
          <w:rtl w:val="0"/>
        </w:rPr>
      </w:r>
    </w:p>
    <w:sectPr>
      <w:pgSz w:h="16838" w:w="11906" w:orient="portrait"/>
      <w:pgMar w:bottom="1440" w:top="1440" w:left="1440" w:right="144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cer Swift 3" w:id="18" w:date="2025-11-29T19:13:00Z">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Mphon menggunakan software penngolah referensi</w:t>
      </w:r>
    </w:p>
  </w:comment>
  <w:comment w:author="Microsoft Office User" w:id="19" w:date="2025-12-13T16:32:00Z">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Baik izin menyesuaikan kembali</w:t>
      </w:r>
    </w:p>
  </w:comment>
  <w:comment w:author="Acer Swift 3" w:id="2" w:date="2025-11-29T18:51:00Z">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Mengapa menjadi fase penting? Mohon disertakan beberapa refernsi yang memperkuat</w:t>
      </w:r>
    </w:p>
  </w:comment>
  <w:comment w:author="Microsoft Office User" w:id="3" w:date="2025-12-13T11:18:00Z">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Terimakasih atas revisinya. Saya tambahkan dalam narasi berikut..</w:t>
      </w:r>
    </w:p>
  </w:comment>
  <w:comment w:author="Acer Swift 3" w:id="4" w:date="2025-11-29T18:53:00Z">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Apakah korelasinya dengan tranasformasi fiscal pasca covid? Mhn dijelaskan dengan kalimat penghubung diantara ketiga tahun tersebut</w:t>
      </w:r>
    </w:p>
  </w:comment>
  <w:comment w:author="Microsoft Office User" w:id="5" w:date="2025-12-13T11:45:00Z">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Terimakasih, izin menambahkan</w:t>
      </w:r>
    </w:p>
  </w:comment>
  <w:comment w:author="Acer Swift 3" w:id="0" w:date="2025-11-29T18:49:00Z">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Semua referensi mohon menggunakan software pengilah referensi sepetti Mendeley, Zotero, end note</w:t>
      </w:r>
    </w:p>
  </w:comment>
  <w:comment w:author="Microsoft Office User" w:id="1" w:date="2025-12-13T11:00:00Z">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Baik, terima Kasih, izin memperbaiki</w:t>
      </w:r>
    </w:p>
  </w:comment>
  <w:comment w:author="Acer Swift 3" w:id="12" w:date="2025-11-29T19:11:00Z">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Mohon dijelaskan bagian manakah yang mejelaskan pertanyaan dan tujuan penelitian</w:t>
      </w:r>
    </w:p>
  </w:comment>
  <w:comment w:author="Microsoft Office User" w:id="13" w:date="2025-12-13T16:26:00Z">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Baik terimakasih izin menambahkan</w:t>
      </w:r>
    </w:p>
  </w:comment>
  <w:comment w:author="Acer Swift 3" w:id="14" w:date="2025-11-29T19:12:00Z">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Hal ini tidak ada pada metode tetapi muncul pada bagian ini</w:t>
      </w:r>
    </w:p>
  </w:comment>
  <w:comment w:author="Microsoft Office User" w:id="15" w:date="2025-12-13T16:29:00Z">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comment>
  <w:comment w:author="Microsoft Office User" w:id="16" w:date="2025-12-13T16:29:00Z">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Mohon izin koreksi, iya mohon maaf seharusnya bagian ini dihapus dan dinarasaikan Kembali.</w:t>
      </w:r>
    </w:p>
  </w:comment>
  <w:comment w:author="Acer Swift 3" w:id="10" w:date="2025-11-29T19:09:00Z">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Informasi apaka yang diambil? Mohon dijelaskaan, akan leih baik jika menggunakana tabel</w:t>
      </w:r>
    </w:p>
  </w:comment>
  <w:comment w:author="Microsoft Office User" w:id="11" w:date="2025-12-13T14:34:00Z">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Baik, Terimakasih izin menambahkan</w:t>
      </w:r>
    </w:p>
  </w:comment>
  <w:comment w:author="Microsoft Office User" w:id="17" w:date="2025-12-08T23:58:00Z">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sehingga saya merevisi kembali simpulan, keterbatasan dan saran</w:t>
      </w:r>
    </w:p>
  </w:comment>
  <w:comment w:author="Acer Swift 3" w:id="6" w:date="2025-11-29T19:07:00Z">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Pada bagian ini Adalah kekuatan dari paper ini, seharusnya memuat persamaan dan perbedaan banyak referensi untuk memperoleh gap risetnya</w:t>
      </w:r>
    </w:p>
  </w:comment>
  <w:comment w:author="Microsoft Office User" w:id="7" w:date="2025-12-13T13:55:00Z">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Baik Terimakasih izin menambahkan</w:t>
      </w:r>
    </w:p>
  </w:comment>
  <w:comment w:author="Acer Swift 3" w:id="8" w:date="2025-11-29T19:08:00Z">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Mohon dijelaskan apa dan baaimana secara tehnis metode ini bekerja</w:t>
      </w:r>
    </w:p>
  </w:comment>
  <w:comment w:author="Microsoft Office User" w:id="9" w:date="2025-12-13T14:31:00Z">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Baik, Terimakasih izin menambahkan</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6E" w15:done="0"/>
  <w15:commentEx w15:paraId="0000016F" w15:paraIdParent="0000016E" w15:done="0"/>
  <w15:commentEx w15:paraId="00000170" w15:done="0"/>
  <w15:commentEx w15:paraId="00000171" w15:paraIdParent="00000170" w15:done="0"/>
  <w15:commentEx w15:paraId="00000172" w15:done="0"/>
  <w15:commentEx w15:paraId="00000173" w15:paraIdParent="00000172" w15:done="0"/>
  <w15:commentEx w15:paraId="00000174" w15:done="0"/>
  <w15:commentEx w15:paraId="00000175" w15:paraIdParent="00000174" w15:done="0"/>
  <w15:commentEx w15:paraId="00000176" w15:done="0"/>
  <w15:commentEx w15:paraId="00000177" w15:paraIdParent="00000176" w15:done="0"/>
  <w15:commentEx w15:paraId="00000178" w15:done="0"/>
  <w15:commentEx w15:paraId="00000179" w15:paraIdParent="00000178" w15:done="0"/>
  <w15:commentEx w15:paraId="0000017A" w15:paraIdParent="00000178" w15:done="0"/>
  <w15:commentEx w15:paraId="0000017B" w15:done="0"/>
  <w15:commentEx w15:paraId="0000017C" w15:paraIdParent="0000017B" w15:done="0"/>
  <w15:commentEx w15:paraId="0000017D" w15:done="0"/>
  <w15:commentEx w15:paraId="0000017E" w15:done="0"/>
  <w15:commentEx w15:paraId="0000017F" w15:paraIdParent="0000017E" w15:done="0"/>
  <w15:commentEx w15:paraId="00000180" w15:done="0"/>
  <w15:commentEx w15:paraId="00000181" w15:paraIdParent="00000180"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Titillium Web">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rFonts w:ascii="Times New Roman" w:cs="Times New Roman" w:eastAsia="Times New Roman" w:hAnsi="Times New Roman"/>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ontParagrafDefaul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TidakAdaDaftar" w:default="1">
    <w:name w:val="No List"/>
    <w:uiPriority w:val="99"/>
    <w:semiHidden w:val="1"/>
    <w:unhideWhenUsed w:val="1"/>
  </w:style>
  <w:style w:type="character" w:styleId="Judul1KAR" w:customStyle="1">
    <w:name w:val="Judul 1 KAR"/>
    <w:basedOn w:val="FontParagrafDefault"/>
    <w:link w:val="Judul1"/>
    <w:uiPriority w:val="9"/>
    <w:rsid w:val="0038431F"/>
    <w:rPr>
      <w:rFonts w:ascii="Times New Roman" w:cs="Times New Roman" w:eastAsia="Times New Roman" w:hAnsi="Times New Roman"/>
      <w:b w:val="1"/>
      <w:bCs w:val="1"/>
      <w:kern w:val="36"/>
      <w:sz w:val="48"/>
      <w:szCs w:val="48"/>
      <w:lang w:eastAsia="id-ID"/>
    </w:rPr>
  </w:style>
  <w:style w:type="table" w:styleId="KisiTabel">
    <w:name w:val="Table Grid"/>
    <w:basedOn w:val="TabelNormal"/>
    <w:uiPriority w:val="39"/>
    <w:rsid w:val="007C1A8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uiPriority w:val="99"/>
    <w:qFormat w:val="1"/>
    <w:rsid w:val="00917DE9"/>
    <w:rPr>
      <w:color w:val="auto"/>
      <w:sz w:val="16"/>
      <w:u w:val="none"/>
    </w:rPr>
  </w:style>
  <w:style w:type="paragraph" w:styleId="NormalWeb">
    <w:name w:val="Normal (Web)"/>
    <w:basedOn w:val="Normal"/>
    <w:uiPriority w:val="99"/>
    <w:unhideWhenUsed w:val="1"/>
    <w:qFormat w:val="1"/>
    <w:rsid w:val="00917DE9"/>
    <w:pPr>
      <w:spacing w:after="100" w:afterAutospacing="1" w:before="100" w:beforeAutospacing="1"/>
      <w:ind w:firstLine="720"/>
      <w:jc w:val="both"/>
    </w:pPr>
    <w:rPr>
      <w:rFonts w:ascii="Times New Roman" w:cs="Times New Roman" w:eastAsia="Times New Roman" w:hAnsi="Times New Roman"/>
      <w:color w:val="000000"/>
      <w:lang w:val="en-US"/>
    </w:rPr>
  </w:style>
  <w:style w:type="character" w:styleId="Penekanan">
    <w:name w:val="Emphasis"/>
    <w:aliases w:val="SN Afiliasi Penulis2"/>
    <w:uiPriority w:val="20"/>
    <w:qFormat w:val="1"/>
    <w:rsid w:val="00917DE9"/>
    <w:rPr>
      <w:i w:val="1"/>
      <w:iCs w:val="1"/>
    </w:rPr>
  </w:style>
  <w:style w:type="character" w:styleId="apple-converted-space" w:customStyle="1">
    <w:name w:val="apple-converted-space"/>
    <w:basedOn w:val="FontParagrafDefault"/>
    <w:rsid w:val="00917DE9"/>
  </w:style>
  <w:style w:type="character" w:styleId="HiperlinkyangDiikuti">
    <w:name w:val="FollowedHyperlink"/>
    <w:basedOn w:val="FontParagrafDefault"/>
    <w:uiPriority w:val="99"/>
    <w:semiHidden w:val="1"/>
    <w:unhideWhenUsed w:val="1"/>
    <w:rsid w:val="00917DE9"/>
    <w:rPr>
      <w:color w:val="954f72" w:themeColor="followedHyperlink"/>
      <w:u w:val="single"/>
    </w:rPr>
  </w:style>
  <w:style w:type="character" w:styleId="Judul4KAR" w:customStyle="1">
    <w:name w:val="Judul 4 KAR"/>
    <w:basedOn w:val="FontParagrafDefault"/>
    <w:link w:val="Judul4"/>
    <w:uiPriority w:val="9"/>
    <w:semiHidden w:val="1"/>
    <w:rsid w:val="006C6C92"/>
    <w:rPr>
      <w:rFonts w:asciiTheme="majorHAnsi" w:cstheme="majorBidi" w:eastAsiaTheme="majorEastAsia" w:hAnsiTheme="majorHAnsi"/>
      <w:i w:val="1"/>
      <w:iCs w:val="1"/>
      <w:color w:val="2f5496" w:themeColor="accent1" w:themeShade="0000BF"/>
    </w:rPr>
  </w:style>
  <w:style w:type="character" w:styleId="ReferensiKomentar">
    <w:name w:val="annotation reference"/>
    <w:uiPriority w:val="99"/>
    <w:unhideWhenUsed w:val="1"/>
    <w:qFormat w:val="1"/>
    <w:rsid w:val="006C6C92"/>
    <w:rPr>
      <w:sz w:val="16"/>
      <w:szCs w:val="16"/>
    </w:rPr>
  </w:style>
  <w:style w:type="paragraph" w:styleId="TeksKomentar">
    <w:name w:val="annotation text"/>
    <w:basedOn w:val="Normal"/>
    <w:link w:val="TeksKomentarKAR"/>
    <w:uiPriority w:val="99"/>
    <w:unhideWhenUsed w:val="1"/>
    <w:qFormat w:val="1"/>
    <w:rsid w:val="006C6C92"/>
    <w:pPr>
      <w:widowControl w:val="0"/>
      <w:spacing w:line="230" w:lineRule="exact"/>
    </w:pPr>
    <w:rPr>
      <w:rFonts w:ascii="Times New Roman" w:cs="Times New Roman" w:eastAsia="Times New Roman" w:hAnsi="Times New Roman"/>
      <w:sz w:val="16"/>
      <w:szCs w:val="16"/>
      <w:lang w:val="en-GB"/>
    </w:rPr>
  </w:style>
  <w:style w:type="character" w:styleId="TeksKomentarKAR" w:customStyle="1">
    <w:name w:val="Teks Komentar KAR"/>
    <w:basedOn w:val="FontParagrafDefault"/>
    <w:link w:val="TeksKomentar"/>
    <w:uiPriority w:val="99"/>
    <w:rsid w:val="006C6C92"/>
    <w:rPr>
      <w:rFonts w:ascii="Times New Roman" w:cs="Times New Roman" w:eastAsia="Times New Roman" w:hAnsi="Times New Roman"/>
      <w:sz w:val="16"/>
      <w:szCs w:val="16"/>
      <w:lang w:val="en-GB"/>
    </w:rPr>
  </w:style>
  <w:style w:type="character" w:styleId="Kuat">
    <w:name w:val="Strong"/>
    <w:aliases w:val="SN Isi"/>
    <w:uiPriority w:val="22"/>
    <w:qFormat w:val="1"/>
    <w:rsid w:val="006C6C92"/>
    <w:rPr>
      <w:b w:val="1"/>
      <w:bCs w:val="1"/>
    </w:rPr>
  </w:style>
  <w:style w:type="character" w:styleId="SebutanYangBelumTerselesaikan">
    <w:name w:val="Unresolved Mention"/>
    <w:basedOn w:val="FontParagrafDefault"/>
    <w:uiPriority w:val="99"/>
    <w:semiHidden w:val="1"/>
    <w:unhideWhenUsed w:val="1"/>
    <w:rsid w:val="007D540D"/>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pdfs.semanticscholar.org/b9e3/74b29c54a07f12c28da9b44a8de25a2f2e0d.pdf" TargetMode="External"/><Relationship Id="rId42" Type="http://schemas.openxmlformats.org/officeDocument/2006/relationships/hyperlink" Target="http://journal.wrpublishing.id/index.php/pi/article/download/74/67" TargetMode="External"/><Relationship Id="rId41" Type="http://schemas.openxmlformats.org/officeDocument/2006/relationships/hyperlink" Target="https://www.researchgate.net/publication/382696767_Budget_Politics_in_Indonesia_Processes_Challenges_and_Economic_Implications" TargetMode="External"/><Relationship Id="rId44" Type="http://schemas.openxmlformats.org/officeDocument/2006/relationships/hyperlink" Target="https://ejournal.zona-edu.org/index.php/ZLPAI/article/view/112" TargetMode="External"/><Relationship Id="rId43" Type="http://schemas.openxmlformats.org/officeDocument/2006/relationships/hyperlink" Target="https://openknowledge.worldbank.org/bitstreams/1e2ea956-614e-5d41-b1cd-e0e017ae4fa7/download" TargetMode="External"/><Relationship Id="rId46" Type="http://schemas.openxmlformats.org/officeDocument/2006/relationships/hyperlink" Target="http://journal.wrpublishing.id/index.php/pi/article/download/74/67" TargetMode="External"/><Relationship Id="rId45" Type="http://schemas.openxmlformats.org/officeDocument/2006/relationships/hyperlink" Target="https://jurnal.pknstan.ac.id/index.php/JIA/article/download/452/323" TargetMode="External"/><Relationship Id="rId105" Type="http://schemas.openxmlformats.org/officeDocument/2006/relationships/image" Target="media/image7.png"/><Relationship Id="rId104" Type="http://schemas.openxmlformats.org/officeDocument/2006/relationships/image" Target="media/image3.png"/><Relationship Id="rId48" Type="http://schemas.openxmlformats.org/officeDocument/2006/relationships/hyperlink" Target="https://books.google.com/books?hl=en&amp;lr=&amp;id=JhywEAAAQBAJ&amp;oi=fnd&amp;pg=PT11" TargetMode="External"/><Relationship Id="rId47" Type="http://schemas.openxmlformats.org/officeDocument/2006/relationships/hyperlink" Target="https://books.google.com/books?hl=en&amp;lr=&amp;id=p1FpEQAAQBAJ&amp;oi=fnd&amp;pg=PP1" TargetMode="External"/><Relationship Id="rId49" Type="http://schemas.openxmlformats.org/officeDocument/2006/relationships/hyperlink" Target="https://api.taylorfrancis.com/content/books/mono/download?identifierName=doi&amp;identifierValue=10.4324/9781003315179&amp;type=googlepdf" TargetMode="External"/><Relationship Id="rId103" Type="http://schemas.openxmlformats.org/officeDocument/2006/relationships/hyperlink" Target="https://doi.org/10.5089/9798400235221.001" TargetMode="External"/><Relationship Id="rId102" Type="http://schemas.openxmlformats.org/officeDocument/2006/relationships/hyperlink" Target="https://doi.org/10.53486/sstc2024.v1.68" TargetMode="External"/><Relationship Id="rId101" Type="http://schemas.openxmlformats.org/officeDocument/2006/relationships/hyperlink" Target="https://link.springer.com/chapter/10.1007/978-3-032-03140-2_12" TargetMode="External"/><Relationship Id="rId100" Type="http://schemas.openxmlformats.org/officeDocument/2006/relationships/hyperlink" Target="https://ilenegrabel.com/wp-content/uploads/2024/04/expanding-creating-and-engendering-fiscal-space.pdf" TargetMode="External"/><Relationship Id="rId31" Type="http://schemas.openxmlformats.org/officeDocument/2006/relationships/hyperlink" Target="https://www.tandfonline.com/doi/abs/10.1080/00074918.2024.2335967" TargetMode="External"/><Relationship Id="rId30" Type="http://schemas.openxmlformats.org/officeDocument/2006/relationships/hyperlink" Target="https://www.academia.edu/download/84816705/eai.8-6-2021.pdf" TargetMode="External"/><Relationship Id="rId33" Type="http://schemas.openxmlformats.org/officeDocument/2006/relationships/hyperlink" Target="https://www.cambridge.org/core/services/aop-cambridge-core/content/view/AAA68DDFB8C8B99F7D59D2FEB0BCE735/stamped-9789815011623c3_p67-105_CBO.pdf/maintaining_macroeconomic_stability_during_the_pandemic.pdf" TargetMode="External"/><Relationship Id="rId32" Type="http://schemas.openxmlformats.org/officeDocument/2006/relationships/hyperlink" Target="https://wikep.net/index.php/IJEFE/article/download/128/125" TargetMode="External"/><Relationship Id="rId35" Type="http://schemas.openxmlformats.org/officeDocument/2006/relationships/hyperlink" Target="https://www.tandfonline.com/doi/abs/10.1080/00074918.2024.2335967" TargetMode="External"/><Relationship Id="rId34" Type="http://schemas.openxmlformats.org/officeDocument/2006/relationships/hyperlink" Target="https://calhoun.nps.edu/bitstreams/c53a639f-9f6d-41f7-9997-19cdc956b6a6/download" TargetMode="External"/><Relationship Id="rId37" Type="http://schemas.openxmlformats.org/officeDocument/2006/relationships/hyperlink" Target="https://www.cambridge.org/core/services/aop-cambridge-core/content/view/AAA68DDFB8C8B99F7D59D2FEB0BCE735/stamped-9789815011623c3_p67-105_CBO.pdf" TargetMode="External"/><Relationship Id="rId36" Type="http://schemas.openxmlformats.org/officeDocument/2006/relationships/hyperlink" Target="https://wikep.net/index.php/IJEFE/article/download/128/125" TargetMode="External"/><Relationship Id="rId39" Type="http://schemas.openxmlformats.org/officeDocument/2006/relationships/hyperlink" Target="https://www.atlantis-press.com/article/125998699.pdf" TargetMode="External"/><Relationship Id="rId38" Type="http://schemas.openxmlformats.org/officeDocument/2006/relationships/hyperlink" Target="https://www.syekhnurjati.ac.id/jurnal/index.php/al-mustashfa/article/download/18880/6411" TargetMode="External"/><Relationship Id="rId20" Type="http://schemas.openxmlformats.org/officeDocument/2006/relationships/hyperlink" Target="https://app.scholarai.io/paper?paper_id=DOI:10.1016/j.econmod.2021.105763&amp;original_url=https%3A%2F%2Fjurnal.ulb.ac.id%2Findex.php%2Fecobisma%2Farticle%2Fview%2F7148" TargetMode="External"/><Relationship Id="rId22" Type="http://schemas.openxmlformats.org/officeDocument/2006/relationships/hyperlink" Target="https://www.cambridge.org/core/services/aop-cambridge-core/content/view/AAA68DDFB8C8B99F7D59D2FEB0BCE735/stamped-9789815011623c3_p67-105_CBO.pdf/maintaining_macroeconomic_stability_during_the_pandemic.pdf" TargetMode="External"/><Relationship Id="rId21" Type="http://schemas.openxmlformats.org/officeDocument/2006/relationships/hyperlink" Target="https://publication-bi.org/repec/idn/wpaper/WP062024.pdf" TargetMode="External"/><Relationship Id="rId24" Type="http://schemas.openxmlformats.org/officeDocument/2006/relationships/hyperlink" Target="https://wikep.net/index.php/IJEFE/article/download/128/125" TargetMode="External"/><Relationship Id="rId23" Type="http://schemas.openxmlformats.org/officeDocument/2006/relationships/hyperlink" Target="https://www.tandfonline.com/doi/abs/10.1080/00074918.2024.2335967" TargetMode="External"/><Relationship Id="rId26" Type="http://schemas.openxmlformats.org/officeDocument/2006/relationships/hyperlink" Target="https://books.google.com/books?hl=en&amp;lr=&amp;id=So6tEAAAQBAJ&amp;oi=fnd&amp;pg=PA17" TargetMode="External"/><Relationship Id="rId25" Type="http://schemas.openxmlformats.org/officeDocument/2006/relationships/hyperlink" Target="https://www.syekhnurjati.ac.id/jurnal/index.php/al-mustashfa/article/download/18880/6411" TargetMode="External"/><Relationship Id="rId28" Type="http://schemas.openxmlformats.org/officeDocument/2006/relationships/hyperlink" Target="https://www.atlantis-press.com/article/125998699.pdf" TargetMode="External"/><Relationship Id="rId27" Type="http://schemas.openxmlformats.org/officeDocument/2006/relationships/hyperlink" Target="https://curate.nd.edu/articles/report/SHARE_HEIGHTS-FS_Higher_Education_Institutions_Generating_Holistic_Transferable_Solutions_Financial_Sustainability_Indonesia_Final_Report/24877623/1/files/50982258.pdf" TargetMode="External"/><Relationship Id="rId29" Type="http://schemas.openxmlformats.org/officeDocument/2006/relationships/hyperlink" Target="https://jurnal.ulb.ac.id/index.php/ecobisma/article/viewFile/7148/4918" TargetMode="External"/><Relationship Id="rId95" Type="http://schemas.openxmlformats.org/officeDocument/2006/relationships/hyperlink" Target="https://repository.unescap.org/handle/20.500.12870/7956" TargetMode="External"/><Relationship Id="rId94" Type="http://schemas.openxmlformats.org/officeDocument/2006/relationships/hyperlink" Target="https://www.econstor.eu/handle/10419/289831" TargetMode="External"/><Relationship Id="rId97" Type="http://schemas.openxmlformats.org/officeDocument/2006/relationships/hyperlink" Target="https://researchonline.jcu.edu.au/88910/1/JCU_88910_Weber_2025_thesis.pdf" TargetMode="External"/><Relationship Id="rId96" Type="http://schemas.openxmlformats.org/officeDocument/2006/relationships/hyperlink" Target="https://www.atlantis-press.com/article/126008911.pdf" TargetMode="External"/><Relationship Id="rId11" Type="http://schemas.openxmlformats.org/officeDocument/2006/relationships/hyperlink" Target="https://jurnal.ubt.ac.id/index.php/ekonomika/article/view/486" TargetMode="External"/><Relationship Id="rId99" Type="http://schemas.openxmlformats.org/officeDocument/2006/relationships/image" Target="media/image4.png"/><Relationship Id="rId10" Type="http://schemas.openxmlformats.org/officeDocument/2006/relationships/image" Target="media/image2.png"/><Relationship Id="rId98" Type="http://schemas.openxmlformats.org/officeDocument/2006/relationships/image" Target="media/image1.png"/><Relationship Id="rId13" Type="http://schemas.openxmlformats.org/officeDocument/2006/relationships/image" Target="media/image6.png"/><Relationship Id="rId12" Type="http://schemas.openxmlformats.org/officeDocument/2006/relationships/image" Target="media/image5.png"/><Relationship Id="rId91" Type="http://schemas.openxmlformats.org/officeDocument/2006/relationships/hyperlink" Target="https://www.atlantis-press.com/article/126008911.pdf" TargetMode="External"/><Relationship Id="rId90" Type="http://schemas.openxmlformats.org/officeDocument/2006/relationships/hyperlink" Target="https://link.springer.com/chapter/10.1007/978-3-032-03140-2_12" TargetMode="External"/><Relationship Id="rId93" Type="http://schemas.openxmlformats.org/officeDocument/2006/relationships/hyperlink" Target="https://link.springer.com/chapter/10.1007/978-3-032-03140-2_12" TargetMode="External"/><Relationship Id="rId92" Type="http://schemas.openxmlformats.org/officeDocument/2006/relationships/hyperlink" Target="https://ilenegrabel.com/wp-content/uploads/2024/04/expanding-creating-and-engendering-fiscal-space.pdf" TargetMode="External"/><Relationship Id="rId15" Type="http://schemas.openxmlformats.org/officeDocument/2006/relationships/hyperlink" Target="https://www.taylorfrancis.com/chapters/edit/10.4324/9781003461074-1/economic-disruption-global-obscurity-insights-challenges-gayathri-vijayabanu-theresa" TargetMode="External"/><Relationship Id="rId14" Type="http://schemas.openxmlformats.org/officeDocument/2006/relationships/hyperlink" Target="https://search.ebscohost.com/login.aspx?direct=true&amp;profile=ehost&amp;scope=site&amp;authtype=crawler&amp;jrnl=03768163&amp;AN=182249759&amp;h=2a5pMAs28p9QhoQiULvZjJtcVDmjuJ%2BwWfQi5gKLe8u4pnRrFhjHOuhk%2B%2BMMgGMXiwtpQJ1aTRt3PZUsVnTG2w%3D%3D&amp;crl=c" TargetMode="External"/><Relationship Id="rId17" Type="http://schemas.openxmlformats.org/officeDocument/2006/relationships/hyperlink" Target="https://app.scholarai.io/paper?paper_id=DOI:10.87654/iej.2021.00456&amp;original_url=http%3A%2F%2Fsociohum.net%2Findex.php%2FINJOLE%2Farticle%2Fview%2F42" TargetMode="External"/><Relationship Id="rId16" Type="http://schemas.openxmlformats.org/officeDocument/2006/relationships/hyperlink" Target="https://www.emerald.com/insight/content/doi/10.1108/jed-06-2024-0195/full/html" TargetMode="External"/><Relationship Id="rId19" Type="http://schemas.openxmlformats.org/officeDocument/2006/relationships/hyperlink" Target="https://app.scholarai.io/paper?paper_id=DOI:10.1080/00074918.2024.2335967&amp;original_url=https%3A%2F%2Fwww.tandfonline.com%2Fdoi%2Fabs%2F10.1080%2F00074918.2024.2335967" TargetMode="External"/><Relationship Id="rId18" Type="http://schemas.openxmlformats.org/officeDocument/2006/relationships/hyperlink" Target="https://link.springer.com/chapter/10.1007/978-981-97-2962-3_7" TargetMode="External"/><Relationship Id="rId84" Type="http://schemas.openxmlformats.org/officeDocument/2006/relationships/hyperlink" Target="https://researchonline.jcu.edu.au/88910/1/JCU_88910_Weber_2025_thesis.pdf" TargetMode="External"/><Relationship Id="rId83" Type="http://schemas.openxmlformats.org/officeDocument/2006/relationships/hyperlink" Target="https://books.google.com/books?hl=en&amp;lr=&amp;id=Ot-5EAAAQBAJ" TargetMode="External"/><Relationship Id="rId86" Type="http://schemas.openxmlformats.org/officeDocument/2006/relationships/hyperlink" Target="https://repository.unescap.org/bitstream/handle/20.500.12870/7956/ESCAP-2025-Survey.pdf?sequence=14&amp;isAllowed=y" TargetMode="External"/><Relationship Id="rId85" Type="http://schemas.openxmlformats.org/officeDocument/2006/relationships/hyperlink" Target="https://www.econstor.eu/handle/10419/289831" TargetMode="External"/><Relationship Id="rId88" Type="http://schemas.openxmlformats.org/officeDocument/2006/relationships/hyperlink" Target="https://link.springer.com/chapter/10.1007/978-3-032-03140-2_12" TargetMode="External"/><Relationship Id="rId87" Type="http://schemas.openxmlformats.org/officeDocument/2006/relationships/hyperlink" Target="https://ilenegrabel.com/wp-content/uploads/2024/04/expanding-creating-and-engendering-fiscal-space.pdf" TargetMode="External"/><Relationship Id="rId89" Type="http://schemas.openxmlformats.org/officeDocument/2006/relationships/hyperlink" Target="https://link.springer.com/chapter/10.1007/978-981-99-6651-6_2" TargetMode="External"/><Relationship Id="rId80" Type="http://schemas.openxmlformats.org/officeDocument/2006/relationships/hyperlink" Target="https://link.springer.com/chapter/10.1007/978-3-032-03140-2_12" TargetMode="External"/><Relationship Id="rId82" Type="http://schemas.openxmlformats.org/officeDocument/2006/relationships/hyperlink" Target="https://books.google.com/books?hl=en&amp;lr=&amp;id=7iIzEQAAQBAJ" TargetMode="External"/><Relationship Id="rId81" Type="http://schemas.openxmlformats.org/officeDocument/2006/relationships/hyperlink" Target="https://ilenegrabel.com/wp-content/uploads/2024/04/expanding-creating-and-engendering-fiscal-space.pdf"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sinta.kemdiktisaintek.go.id/journals/profile/7963"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 Id="rId73" Type="http://schemas.openxmlformats.org/officeDocument/2006/relationships/hyperlink" Target="https://ilenegrabel.com/wp-content/uploads/2024/04/expanding-creating-and-engendering-fiscal-space.pdf" TargetMode="External"/><Relationship Id="rId72" Type="http://schemas.openxmlformats.org/officeDocument/2006/relationships/hyperlink" Target="https://www.econstor.eu/handle/10419/289831" TargetMode="External"/><Relationship Id="rId75" Type="http://schemas.openxmlformats.org/officeDocument/2006/relationships/hyperlink" Target="https://link.springer.com/chapter/10.1007/978-3-032-03140-2_12" TargetMode="External"/><Relationship Id="rId74" Type="http://schemas.openxmlformats.org/officeDocument/2006/relationships/hyperlink" Target="https://www.atlantis-press.com/article/126008911.pdf" TargetMode="External"/><Relationship Id="rId77" Type="http://schemas.openxmlformats.org/officeDocument/2006/relationships/hyperlink" Target="https://www.atlantis-press.com/article/126008911.pdf" TargetMode="External"/><Relationship Id="rId76" Type="http://schemas.openxmlformats.org/officeDocument/2006/relationships/hyperlink" Target="https://www.econstor.eu/handle/10419/289831" TargetMode="External"/><Relationship Id="rId79" Type="http://schemas.openxmlformats.org/officeDocument/2006/relationships/hyperlink" Target="https://researchonline.jcu.edu.au/88910/1/JCU_88910_Weber_2025_thesis.pdf" TargetMode="External"/><Relationship Id="rId78" Type="http://schemas.openxmlformats.org/officeDocument/2006/relationships/hyperlink" Target="https://repository.unescap.org/bitstream/handle/20.500.12870/7956/ESCAP-2025-Survey.pdf?sequence=14&amp;isAllowed=y" TargetMode="External"/><Relationship Id="rId71" Type="http://schemas.openxmlformats.org/officeDocument/2006/relationships/hyperlink" Target="https://researchonline.jcu.edu.au/88910/1/JCU_88910_Weber_2025_thesis.pdf" TargetMode="External"/><Relationship Id="rId70" Type="http://schemas.openxmlformats.org/officeDocument/2006/relationships/hyperlink" Target="https://repository.unescap.org/bitstream/handle/20.500.12870/7956/ESCAP-2025-Survey.pdf?sequence=14&amp;isAllowed=y" TargetMode="External"/><Relationship Id="rId62" Type="http://schemas.openxmlformats.org/officeDocument/2006/relationships/hyperlink" Target="https://www.econstor.eu/handle/10419/289831" TargetMode="External"/><Relationship Id="rId61" Type="http://schemas.openxmlformats.org/officeDocument/2006/relationships/hyperlink" Target="https://repository.unescap.org/bitstream/handle/20.500.12870/7956/ESCAP-2025-Survey.pdf?sequence=14&amp;isAllowed=y" TargetMode="External"/><Relationship Id="rId64" Type="http://schemas.openxmlformats.org/officeDocument/2006/relationships/hyperlink" Target="https://researchonline.jcu.edu.au/88910/1/JCU_88910_Weber_2025_thesis.pdf" TargetMode="External"/><Relationship Id="rId63" Type="http://schemas.openxmlformats.org/officeDocument/2006/relationships/hyperlink" Target="https://ilenegrabel.com/wp-content/uploads/2024/04/expanding-creating-and-engendering-fiscal-space.pdf" TargetMode="External"/><Relationship Id="rId66" Type="http://schemas.openxmlformats.org/officeDocument/2006/relationships/hyperlink" Target="https://books.google.com/books?hl=en&amp;lr=&amp;id=Ot-5EAAAQBAJ" TargetMode="External"/><Relationship Id="rId65" Type="http://schemas.openxmlformats.org/officeDocument/2006/relationships/hyperlink" Target="https://link.springer.com/chapter/10.1007/978-3-032-03140-2_12" TargetMode="External"/><Relationship Id="rId68" Type="http://schemas.openxmlformats.org/officeDocument/2006/relationships/hyperlink" Target="https://books.google.com/books?hl=en&amp;lr=&amp;id=Ot-5EAAAQBAJ" TargetMode="External"/><Relationship Id="rId67" Type="http://schemas.openxmlformats.org/officeDocument/2006/relationships/hyperlink" Target="https://link.springer.com/chapter/10.1007/978-3-032-03140-2_12" TargetMode="External"/><Relationship Id="rId60" Type="http://schemas.openxmlformats.org/officeDocument/2006/relationships/hyperlink" Target="https://www.atlantis-press.com/article/126008911.pdf" TargetMode="External"/><Relationship Id="rId69" Type="http://schemas.openxmlformats.org/officeDocument/2006/relationships/hyperlink" Target="https://link.springer.com/chapter/10.1007/978-981-99-6651-6_2" TargetMode="External"/><Relationship Id="rId51" Type="http://schemas.openxmlformats.org/officeDocument/2006/relationships/hyperlink" Target="https://repository.unescap.org/bitstream/handle/20.500.12870/7956/ESCAP-2025-Survey.pdf?sequence=14&amp;isAllowed=y" TargetMode="External"/><Relationship Id="rId50" Type="http://schemas.openxmlformats.org/officeDocument/2006/relationships/hyperlink" Target="https://link.springer.com/chapter/10.1007/978-3-032-03140-2_12" TargetMode="External"/><Relationship Id="rId53" Type="http://schemas.openxmlformats.org/officeDocument/2006/relationships/hyperlink" Target="https://books.google.com/books?hl=en&amp;lr=&amp;id=Ot-5EAAAQBAJ" TargetMode="External"/><Relationship Id="rId52" Type="http://schemas.openxmlformats.org/officeDocument/2006/relationships/hyperlink" Target="https://researchonline.jcu.edu.au/88910/1/JCU_88910_Weber_2025_thesis.pdf" TargetMode="External"/><Relationship Id="rId55" Type="http://schemas.openxmlformats.org/officeDocument/2006/relationships/hyperlink" Target="https://www.econstor.eu/handle/10419/289831" TargetMode="External"/><Relationship Id="rId54" Type="http://schemas.openxmlformats.org/officeDocument/2006/relationships/hyperlink" Target="https://link.springer.com/chapter/10.1007/978-981-99-6651-6_2" TargetMode="External"/><Relationship Id="rId57" Type="http://schemas.openxmlformats.org/officeDocument/2006/relationships/hyperlink" Target="https://ilenegrabel.com/wp-content/uploads/2024/04/expanding-creating-and-engendering-fiscal-space.pdf" TargetMode="External"/><Relationship Id="rId56" Type="http://schemas.openxmlformats.org/officeDocument/2006/relationships/hyperlink" Target="https://www.atlantis-press.com/article/126008911.pdf" TargetMode="External"/><Relationship Id="rId59" Type="http://schemas.openxmlformats.org/officeDocument/2006/relationships/hyperlink" Target="https://researchonline.jcu.edu.au/88910/1/JCU_88910_Weber_2025_thesis.pdf" TargetMode="External"/><Relationship Id="rId58" Type="http://schemas.openxmlformats.org/officeDocument/2006/relationships/hyperlink" Target="https://link.springer.com/chapter/10.1007/978-3-032-03140-2_1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itilliumWeb-regular.ttf"/><Relationship Id="rId2" Type="http://schemas.openxmlformats.org/officeDocument/2006/relationships/font" Target="fonts/TitilliumWeb-bold.ttf"/><Relationship Id="rId3" Type="http://schemas.openxmlformats.org/officeDocument/2006/relationships/font" Target="fonts/TitilliumWeb-italic.ttf"/><Relationship Id="rId4" Type="http://schemas.openxmlformats.org/officeDocument/2006/relationships/font" Target="fonts/TitilliumWeb-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1ufXwC6wN+O2tkKq9YmaUsrpQ==">CgMxLjAaJwoBMBIiCiAIBCocCgtBQUFDRnp3aXBMVRAIGgtBQUFDRnp3aXBMVRonCgExEiIKIAgEKhwKC0FBQUNGendpcExVEAgaC0FBQUNGendpcExZGicKATISIgogCAQqHAoLQUFBQ0Z6d2lwSlUQCBoLQUFBQ0Z6d2lwSlUaJwoBMxIiCiAIBCocCgtBQUFDRnp3aXBKVRAIGgtBQUFDRnp3aXBKWRonCgE0EiIKIAgEKhwKC0FBQUNGendpcEo0EAgaC0FBQUNGendpcEo0GicKATUSIgogCAQqHAoLQUFBQ0Z6d2lwSjQQCBoLQUFBQ0Z6d2lwSjgaJwoBNhIiCiAIBCocCgtBQUFDRnp3aXBKbxAIGgtBQUFDRnp3aXBKbxonCgE3EiIKIAgEKhwKC0FBQUNGendpcEpvEAgaC0FBQUNGendpcEpzGicKATgSIgogCAQqHAoLQUFBQ0Z6d2lwTE0QCBoLQUFBQ0Z6d2lwTE0aJwoBORIiCiAIBCocCgtBQUFDRnp3aXBMTRAIGgtBQUFDRnp3aXBMURooCgIxMBIiCiAIBCocCgtBQUFDRnp3aXBMYxAIGgtBQUFDRnp3aXBMYxooCgIxMRIiCiAIBCocCgtBQUFDRnp3aXBMYxAIGgtBQUFDRnp3aXBMZxooCgIxMhIiCiAIBCocCgtBQUFDRnp3aXBMRRAIGgtBQUFDRnp3aXBMRRooCgIxMxIiCiAIBCocCgtBQUFDRnp3aXBMRRAIGgtBQUFDRnp3aXBMSRooCgIxNBIiCiAIBCocCgtBQUFDRnp3aXBKYxAIGgtBQUFDRnp3aXBKYxooCgIxNRIiCiAIBCocCgtBQUFDRnp3aXBKYxAIGgtBQUFDRnp3aXBKZxooCgIxNhIiCiAIBCocCgtBQUFDRnp3aXBKYxAIGgtBQUFDRnp3aXBKaxooCgIxNxIiCiAIBCocCgtBQUFDRnp3aXBMQRAIGgtBQUFDRnp3aXBMQRooCgIxOBIiCiAIBCocCgtBQUFDRnp3aXBKdxAIGgtBQUFDRnp3aXBKdxooCgIxORIiCiAIBCocCgtBQUFDRnp3aXBKdxAIGgtBQUFDRnp3aXBKMCKKBgoLQUFBQ0Z6d2lwSncS3wUKC0FBQUNGendpcEp3EgtBQUFDRnp3aXBKdxo7Cgl0ZXh0L2h0bWwSLk1waG9uIG1lbmdndW5ha2FuIHNvZnR3YXJlIHBlbm5nb2xhaCByZWZlcmVuc2kiPAoKdGV4dC9wbGFpbhIuTXBob24gbWVuZ2d1bmFrYW4gc29mdHdhcmUgcGVubmdvbGFoIHJlZmVyZW5zaSpFCgxBY2VyIFN3aWZ0IDMaNS8vc3NsLmdzdGF0aWMuY29tL2RvY3MvY29tbW9uL2JsdWVfc2lsaG91ZXR0ZTk2LTAucG5nMODMoYitMziAkLjEsTNC3wIKC0FBQUNGendpcEowEgtBQUFDRnp3aXBKdxorCgl0ZXh0L2h0bWwSHkJhaWsgaXppbiBtZW55ZXN1YWlrYW4ga2VtYmFsaSIsCgp0ZXh0L3BsYWluEh5CYWlrIGl6aW4gbWVueWVzdWFpa2FuIGtlbWJhbGkqTgoVTWljcm9zb2Z0IE9mZmljZSBVc2VyGjUvL3NzbC5nc3RhdGljLmNvbS9kb2NzL2NvbW1vbi9ibHVlX3NpbGhvdWV0dGU5Ni0wLnBuZzCAkLjEsTM4gJC4xLEzclAKFU1pY3Jvc29mdCBPZmZpY2UgVXNlcho3CjUvL3NzbC5nc3RhdGljLmNvbS9kb2NzL2NvbW1vbi9ibHVlX3NpbGhvdWV0dGU5Ni0wLnBuZ3gAiAEBmgEGCAAQABgAqgEgEh5CYWlrIGl6aW4gbWVueWVzdWFpa2FuIGtlbWJhbGmwAQC4AQHIAQByRwoMQWNlciBTd2lmdCAzGjcKNS8vc3NsLmdzdGF0aWMuY29tL2RvY3MvY29tbW9uL2JsdWVfc2lsaG91ZXR0ZTk2LTAucG5neACIAQGaAQYIABAAGACqATASLk1waG9uIG1lbmdndW5ha2FuIHNvZnR3YXJlIHBlbm5nb2xhaCByZWZlcmVuc2mwAQC4AQHIAQAY4MyhiK0zIICQuMSxMzAAQglraXguY210MTgi2AcKC0FBQUNGendpcEpVEq4HCgtBQUFDRnp3aXBKVRILQUFBQ0Z6d2lwSlUaXQoJdGV4dC9odG1sElBNZW5nYXBhIG1lbmphZGkgZmFzZSBwZW50aW5nPyBNb2hvbiBkaXNlcnRha2FuIGJlYmVyYXBhIHJlZmVybnNpIHlhbmcgbWVtcGVya3VhdCJeCgp0ZXh0L3BsYWluElBNZW5nYXBhIG1lbmphZGkgZmFzZSBwZW50aW5nPyBNb2hvbiBkaXNlcnRha2FuIGJlYmVyYXBhIHJlZmVybnNpIHlhbmcgbWVtcGVya3VhdCpFCgxBY2VyIFN3aWZ0IDMaNS8vc3NsLmdzdGF0aWMuY29tL2RvY3MvY29tbW9uL2JsdWVfc2lsaG91ZXR0ZTk2LTAucG5nMKCE0YetMzjAnLq7sTNCyAMKC0FBQUNGendpcEpZEgtBQUFDRnp3aXBKVRpOCgl0ZXh0L2h0bWwSQVRlcmltYWthc2loIGF0YXMgcmV2aXNpbnlhLiBTYXlhIHRhbWJhaGthbiBkYWxhbSBuYXJhc2kgYmVyaWt1dC4uIk8KCnRleHQvcGxhaW4SQVRlcmltYWthc2loIGF0YXMgcmV2aXNpbnlhLiBTYXlhIHRhbWJhaGthbiBkYWxhbSBuYXJhc2kgYmVyaWt1dC4uKk4KFU1pY3Jvc29mdCBPZmZpY2UgVXNlcho1Ly9zc2wuZ3N0YXRpYy5jb20vZG9jcy9jb21tb24vYmx1ZV9zaWxob3VldHRlOTYtMC5wbmcwwJy6u7EzOMCcuruxM3JQChVNaWNyb3NvZnQgT2ZmaWNlIFVzZXIaNwo1Ly9zc2wuZ3N0YXRpYy5jb20vZG9jcy9jb21tb24vYmx1ZV9zaWxob3VldHRlOTYtMC5wbmd4AIgBAZoBBggAEAAYAKoBQxJBVGVyaW1ha2FzaWggYXRhcyByZXZpc2lueWEuIFNheWEgdGFtYmFoa2FuIGRhbGFtIG5hcmFzaSBiZXJpa3V0Li6wAQC4AQHIAQByRwoMQWNlciBTd2lmdCAzGjcKNS8vc3NsLmdzdGF0aWMuY29tL2RvY3MvY29tbW9uL2JsdWVfc2lsaG91ZXR0ZTk2LTAucG5neACIAQGaAQYIABAAGACqAVISUE1lbmdhcGEgbWVuamFkaSBmYXNlIHBlbnRpbmc/IE1vaG9uIGRpc2VydGFrYW4gYmViZXJhcGEgcmVmZXJuc2kgeWFuZyBtZW1wZXJrdWF0sAEAuAEByAEAGKCE0YetMyDAnLq7sTMwAEIIa2l4LmNtdDIiiwgKC0FBQUNGendpcEo0EuEHCgtBQUFDRnp3aXBKNBILQUFBQ0Z6d2lwSjQakQEKCXRleHQvaHRtbBKDAUFwYWthaCBrb3JlbGFzaW55YSBkZW5nYW4gdHJhbmFzZm9ybWFzaSBmaXNjYWwgcGFzY2EgY292aWQ/IE1obiBkaWplbGFza2FuIGRlbmdhbiBrYWxpbWF0IHBlbmdodWJ1bmcgZGlhbnRhcmEga2V0aWdhIHRhaHVuIHRlcnNlYnV0IpIBCgp0ZXh0L3BsYWluEoMBQXBha2FoIGtvcmVsYXNpbnlhIGRlbmdhbiB0cmFuYXNmb3JtYXNpIGZpc2NhbCBwYXNjYSBjb3ZpZD8gTWhuIGRpamVsYXNrYW4gZGVuZ2FuIGthbGltYXQgcGVuZ2h1YnVuZyBkaWFudGFyYSBrZXRpZ2EgdGFodW4gdGVyc2VidXQqRQoMQWNlciBTd2lmdCAzGjUvL3NzbC5nc3RhdGljLmNvbS9kb2NzL2NvbW1vbi9ibHVlX3NpbGhvdWV0dGU5Ni0wLnBuZzDgrdiHrTM44IydvLEzQtwCCgtBQUFDRnp3aXBKOBILQUFBQ0Z6d2lwSjQaKgoJdGV4dC9odG1sEh1UZXJpbWFrYXNpaCwgaXppbiBtZW5hbWJhaGthbiIrCgp0ZXh0L3BsYWluEh1UZXJpbWFrYXNpaCwgaXppbiBtZW5hbWJhaGthbipOChVNaWNyb3NvZnQgT2ZmaWNlIFVzZXIaNS8vc3NsLmdzdGF0aWMuY29tL2RvY3MvY29tbW9uL2JsdWVfc2lsaG91ZXR0ZTk2LTAucG5nMOCMnbyxMzjgjJ28sTNyUAoVTWljcm9zb2Z0IE9mZmljZSBVc2VyGjcKNS8vc3NsLmdzdGF0aWMuY29tL2RvY3MvY29tbW9uL2JsdWVfc2lsaG91ZXR0ZTk2LTAucG5neACIAQGaAQYIABAAGACqAR8SHVRlcmltYWthc2loLCBpemluIG1lbmFtYmFoa2FusAEAuAEByAEAckcKDEFjZXIgU3dpZnQgMxo3CjUvL3NzbC5nc3RhdGljLmNvbS9kb2NzL2NvbW1vbi9ibHVlX3NpbGhvdWV0dGU5Ni0wLnBuZ3gAiAEBmgEGCAAQABgAqgGGARKDAUFwYWthaCBrb3JlbGFzaW55YSBkZW5nYW4gdHJhbmFzZm9ybWFzaSBmaXNjYWwgcGFzY2EgY292aWQ/IE1obiBkaWplbGFza2FuIGRlbmdhbiBrYWxpbWF0IHBlbmdodWJ1bmcgZGlhbnRhcmEga2V0aWdhIHRhaHVuIHRlcnNlYnV0sAEAuAEByAEAGOCt2IetMyDgjJ28sTMwAEIIa2l4LmNtdDQisQcKC0FBQUNGendpcExVEocHCgtBQUFDRnp3aXBMVRILQUFBQ0Z6d2lwTFUabQoJdGV4dC9odG1sEmBTZW11YSByZWZlcmVuc2kgbW9ob24gbWVuZ2d1bmFrYW4gc29mdHdhcmUgcGVuZ2lsYWggcmVmZXJlbnNpIHNlcGV0dGkgTWVuZGVsZXksIFpvdGVybywgZW5kIG5vdGUibgoKdGV4dC9wbGFpbhJgU2VtdWEgcmVmZXJlbnNpIG1vaG9uIG1lbmdndW5ha2FuIHNvZnR3YXJlIHBlbmdpbGFoIHJlZmVyZW5zaSBzZXBldHRpIE1lbmRlbGV5LCBab3Rlcm8sIGVuZCBub3RlKkUKDEFjZXIgU3dpZnQgMxo1Ly9zc2wuZ3N0YXRpYy5jb20vZG9jcy9jb21tb24vYmx1ZV9zaWxob3VldHRlOTYtMC5wbmcw4NrJh60zOICn+LqxM0LxAgoLQUFBQ0Z6d2lwTFkSC0FBQUNGendpcExVGjEKCXRleHQvaHRtbBIkQmFpaywgdGVyaW1hIEthc2loLCBpemluIG1lbXBlcmJhaWtpIjIKCnRleHQvcGxhaW4SJEJhaWssIHRlcmltYSBLYXNpaCwgaXppbiBtZW1wZXJiYWlraSpOChVNaWNyb3NvZnQgT2ZmaWNlIFVzZXIaNS8vc3NsLmdzdGF0aWMuY29tL2RvY3MvY29tbW9uL2JsdWVfc2lsaG91ZXR0ZTk2LTAucG5nMICn+LqxMziAp/i6sTNyUAoVTWljcm9zb2Z0IE9mZmljZSBVc2VyGjcKNS8vc3NsLmdzdGF0aWMuY29tL2RvY3MvY29tbW9uL2JsdWVfc2lsaG91ZXR0ZTk2LTAucG5neACIAQGaAQYIABAAGACqASYSJEJhaWssIHRlcmltYSBLYXNpaCwgaXppbiBtZW1wZXJiYWlrabABALgBAcgBAHJHCgxBY2VyIFN3aWZ0IDMaNwo1Ly9zc2wuZ3N0YXRpYy5jb20vZG9jcy9jb21tb24vYmx1ZV9zaWxob3VldHRlOTYtMC5wbmd4AIgBAZoBBggAEAAYAKoBYhJgU2VtdWEgcmVmZXJlbnNpIG1vaG9uIG1lbmdndW5ha2FuIHNvZnR3YXJlIHBlbmdpbGFoIHJlZmVyZW5zaSBzZXBldHRpIE1lbmRlbGV5LCBab3Rlcm8sIGVuZCBub3RlsAEAuAEByAEAGODayYetMyCAp/i6sTMwAEIIa2l4LmNtdDAi+QYKC0FBQUNGendpcExFEs4GCgtBQUFDRnp3aXBMRRILQUFBQ0Z6d2lwTEUaXQoJdGV4dC9odG1sElBNb2hvbiBkaWplbGFza2FuIGJhZ2lhbiBtYW5ha2FoIHlhbmcgbWVqZWxhc2thbiBwZXJ0YW55YWFuIGRhbiB0dWp1YW4gcGVuZWxpdGlhbiJeCgp0ZXh0L3BsYWluElBNb2hvbiBkaWplbGFza2FuIGJhZ2lhbiBtYW5ha2FoIHlhbmcgbWVqZWxhc2thbiBwZXJ0YW55YWFuIGRhbiB0dWp1YW4gcGVuZWxpdGlhbipFCgxBY2VyIFN3aWZ0IDMaNS8vc3NsLmdzdGF0aWMuY29tL2RvY3MvY29tbW9uL2JsdWVfc2lsaG91ZXR0ZTk2LTAucG5nMKCjmoitMzjAk6LEsTNC6AIKC0FBQUNGendpcExJEgtBQUFDRnp3aXBMRRouCgl0ZXh0L2h0bWwSIUJhaWsgdGVyaW1ha2FzaWggaXppbiBtZW5hbWJhaGthbiIvCgp0ZXh0L3BsYWluEiFCYWlrIHRlcmltYWthc2loIGl6aW4gbWVuYW1iYWhrYW4qTgoVTWljcm9zb2Z0IE9mZmljZSBVc2VyGjUvL3NzbC5nc3RhdGljLmNvbS9kb2NzL2NvbW1vbi9ibHVlX3NpbGhvdWV0dGU5Ni0wLnBuZzDAk6LEsTM4wJOixLEzclAKFU1pY3Jvc29mdCBPZmZpY2UgVXNlcho3CjUvL3NzbC5nc3RhdGljLmNvbS9kb2NzL2NvbW1vbi9ibHVlX3NpbGhvdWV0dGU5Ni0wLnBuZ3gAiAEBmgEGCAAQABgAqgEjEiFCYWlrIHRlcmltYWthc2loIGl6aW4gbWVuYW1iYWhrYW6wAQC4AQHIAQByRwoMQWNlciBTd2lmdCAzGjcKNS8vc3NsLmdzdGF0aWMuY29tL2RvY3MvY29tbW9uL2JsdWVfc2lsaG91ZXR0ZTk2LTAucG5neACIAQGaAQYIABAAGACqAVISUE1vaG9uIGRpamVsYXNrYW4gYmFnaWFuIG1hbmFrYWggeWFuZyBtZWplbGFza2FuIHBlcnRhbnlhYW4gZGFuIHR1anVhbiBwZW5lbGl0aWFusAEAuAEByAEAGKCjmoitMyDAk6LEsTMwAEIJa2l4LmNtdDEyIugJCgtBQUFDRnp3aXBKYxK9CQoLQUFBQ0Z6d2lwSmMSC0FBQUNGendpcEpjGkgKCXRleHQvaHRtbBI7SGFsIGluaSB0aWRhayBhZGEgcGFkYSBtZXRvZGUgdGV0YXBpIG11bmN1bCBwYWRhIGJhZ2lhbiBpbmkiSQoKdGV4dC9wbGFpbhI7SGFsIGluaSB0aWRhayBhZGEgcGFkYSBtZXRvZGUgdGV0YXBpIG11bmN1bCBwYWRhIGJhZ2lhbiBpbmkqRQoMQWNlciBTd2lmdCAzGjUvL3NzbC5nc3RhdGljLmNvbS9kb2NzL2NvbW1vbi9ibHVlX3NpbGhvdWV0dGU5Ni0wLnBuZzCA+J2IrTM46pGtxLEzQoACCgtBQUFDRnp3aXBKZxILQUFBQ0Z6d2lwSmMaDQoJdGV4dC9odG1sEgAiDgoKdGV4dC9wbGFpbhIAKk4KFU1pY3Jvc29mdCBPZmZpY2UgVXNlcho1Ly9zc2wuZ3N0YXRpYy5jb20vZG9jcy9jb21tb24vYmx1ZV9zaWxob3VldHRlOTYtMC5wbmcw4JGtxLEzOOCRrcSxM3JQChVNaWNyb3NvZnQgT2ZmaWNlIFVzZXIaNwo1Ly9zc2wuZ3N0YXRpYy5jb20vZG9jcy9jb21tb24vYmx1ZV9zaWxob3VldHRlOTYtMC5wbmd4AIgBAZoBBggAEAAYALABALgBAcgBAEKTBAoLQUFBQ0Z6d2lwSmsSC0FBQUNGendpcEpjGmcKCXRleHQvaHRtbBJaTW9ob24gaXppbiBrb3Jla3NpLCBpeWEgbW9ob24gbWFhZiBzZWhhcnVzbnlhIGJhZ2lhbiBpbmkgZGloYXB1cyBkYW4gZGluYXJhc2Fpa2FuIEtlbWJhbGkuImgKCnRleHQvcGxhaW4SWk1vaG9uIGl6aW4ga29yZWtzaSwgaXlhIG1vaG9uIG1hYWYgc2VoYXJ1c255YSBiYWdpYW4gaW5pIGRpaGFwdXMgZGFuIGRpbmFyYXNhaWthbiBLZW1iYWxpLipOChVNaWNyb3NvZnQgT2ZmaWNlIFVzZXIaNS8vc3NsLmdzdGF0aWMuY29tL2RvY3MvY29tbW9uL2JsdWVfc2lsaG91ZXR0ZTk2LTAucG5nMOqRrcSxMzjqka3EsTNyUAoVTWljcm9zb2Z0IE9mZmljZSBVc2VyGjcKNS8vc3NsLmdzdGF0aWMuY29tL2RvY3MvY29tbW9uL2JsdWVfc2lsaG91ZXR0ZTk2LTAucG5neACIAQGaAQYIABAAGACqAVwSWk1vaG9uIGl6aW4ga29yZWtzaSwgaXlhIG1vaG9uIG1hYWYgc2VoYXJ1c255YSBiYWdpYW4gaW5pIGRpaGFwdXMgZGFuIGRpbmFyYXNhaWthbiBLZW1iYWxpLrABALgBAcgBAHJHCgxBY2VyIFN3aWZ0IDMaNwo1Ly9zc2wuZ3N0YXRpYy5jb20vZG9jcy9jb21tb24vYmx1ZV9zaWxob3VldHRlOTYtMC5wbmd4AIgBAZoBBggAEAAYAKoBPRI7SGFsIGluaSB0aWRhayBhZGEgcGFkYSBtZXRvZGUgdGV0YXBpIG11bmN1bCBwYWRhIGJhZ2lhbiBpbmmwAQC4AQHIAQAYgPidiK0zIOqRrcSxMzAAQglraXguY210MTQikQcKC0FBQUNGendpcExjEuYGCgtBQUFDRnp3aXBMYxILQUFBQ0Z6d2lwTGMaZAoJdGV4dC9odG1sEldJbmZvcm1hc2kgYXBha2EgeWFuZyBkaWFtYmlsPyBNb2hvbiBkaWplbGFza2FhbiwgYWthbiBsZWloIGJhaWsgamlrYSBtZW5nZ3VuYWthbmEgdGFiZWwiZQoKdGV4dC9wbGFpbhJXSW5mb3JtYXNpIGFwYWthIHlhbmcgZGlhbWJpbD8gTW9ob24gZGlqZWxhc2thYW4sIGFrYW4gbGVpaCBiYWlrIGppa2EgbWVuZ2d1bmFrYW5hIHRhYmVsKkUKDEFjZXIgU3dpZnQgMxo1Ly9zc2wuZ3N0YXRpYy5jb20vZG9jcy9jb21tb24vYmx1ZV9zaWxob3VldHRlOTYtMC5wbmcw4PmSiK0zOMD/h8GxM0LrAgoLQUFBQ0Z6d2lwTGcSC0FBQUNGendpcExjGi8KCXRleHQvaHRtbBIiQmFpaywgVGVyaW1ha2FzaWggaXppbiBtZW5hbWJhaGthbiIwCgp0ZXh0L3BsYWluEiJCYWlrLCBUZXJpbWFrYXNpaCBpemluIG1lbmFtYmFoa2FuKk4KFU1pY3Jvc29mdCBPZmZpY2UgVXNlcho1Ly9zc2wuZ3N0YXRpYy5jb20vZG9jcy9jb21tb24vYmx1ZV9zaWxob3VldHRlOTYtMC5wbmcwwP+HwbEzOMD/h8GxM3JQChVNaWNyb3NvZnQgT2ZmaWNlIFVzZXIaNwo1Ly9zc2wuZ3N0YXRpYy5jb20vZG9jcy9jb21tb24vYmx1ZV9zaWxob3VldHRlOTYtMC5wbmd4AIgBAZoBBggAEAAYAKoBJBIiQmFpaywgVGVyaW1ha2FzaWggaXppbiBtZW5hbWJhaGthbrABALgBAcgBAHJHCgxBY2VyIFN3aWZ0IDMaNwo1Ly9zc2wuZ3N0YXRpYy5jb20vZG9jcy9jb21tb24vYmx1ZV9zaWxob3VldHRlOTYtMC5wbmd4AIgBAZoBBggAEAAYAKoBWRJXSW5mb3JtYXNpIGFwYWthIHlhbmcgZGlhbWJpbD8gTW9ob24gZGlqZWxhc2thYW4sIGFrYW4gbGVpaCBiYWlrIGppa2EgbWVuZ2d1bmFrYW5hIHRhYmVssAEAuAEByAEAGOD5koitMyDA/4fBsTMwAEIJa2l4LmNtdDEwIu0DCgtBQUFDRnp3aXBMQRLCAwoLQUFBQ0Z6d2lwTEESC0FBQUNGendpcExBGkwKCXRleHQvaHRtbBI/c2VoaW5nZ2Egc2F5YSBtZXJldmlzaSBrZW1iYWxpIHNpbXB1bGFuLCBrZXRlcmJhdGFzYW4gZGFuIHNhcmFuIk0KCnRleHQvcGxhaW4SP3NlaGluZ2dhIHNheWEgbWVyZXZpc2kga2VtYmFsaSBzaW1wdWxhbiwga2V0ZXJiYXRhc2FuIGRhbiBzYXJhbipOChVNaWNyb3NvZnQgT2ZmaWNlIFVzZXIaNS8vc3NsLmdzdGF0aWMuY29tL2RvY3MvY29tbW9uL2JsdWVfc2lsaG91ZXR0ZTk2LTAucG5nMMCemoOwMzjAnpqDsDNyUAoVTWljcm9zb2Z0IE9mZmljZSBVc2VyGjcKNS8vc3NsLmdzdGF0aWMuY29tL2RvY3MvY29tbW9uL2JsdWVfc2lsaG91ZXR0ZTk2LTAucG5neACIAQGaAQYIABAAGACqAUESP3NlaGluZ2dhIHNheWEgbWVyZXZpc2kga2VtYmFsaSBzaW1wdWxhbiwga2V0ZXJiYXRhc2FuIGRhbiBzYXJhbrABALgBAcgBABjAnpqDsDMgwJ6ag7AzMABCCWtpeC5jbXQxNyKmCAoLQUFBQ0Z6d2lwSm8S/AcKC0FBQUNGendpcEpvEgtBQUFDRnp3aXBKbxqWAQoJdGV4dC9odG1sEogBUGFkYSBiYWdpYW4gaW5pIEFkYWxhaCBrZWt1YXRhbiBkYXJpIHBhcGVyIGluaSwgc2VoYXJ1c255YSBtZW11YXQgcGVyc2FtYWFuIGRhbiBwZXJiZWRhYW4gYmFueWFrIHJlZmVyZW5zaSB1bnR1ayBtZW1wZXJvbGVoIGdhcCByaXNldG55YSKXAQoKdGV4dC9wbGFpbhKIAVBhZGEgYmFnaWFuIGluaSBBZGFsYWgga2VrdWF0YW4gZGFyaSBwYXBlciBpbmksIHNlaGFydXNueWEgbWVtdWF0IHBlcnNhbWFhbiBkYW4gcGVyYmVkYWFuIGJhbnlhayByZWZlcmVuc2kgdW50dWsgbWVtcGVyb2xlaCBnYXAgcmlzZXRueWEqRQoMQWNlciBTd2lmdCAzGjUvL3NzbC5nc3RhdGljLmNvbS9kb2NzL2NvbW1vbi9ibHVlX3NpbGhvdWV0dGU5Ni0wLnBuZzCg0IuIrTM4oJb5v7EzQugCCgtBQUFDRnp3aXBKcxILQUFBQ0Z6d2lwSm8aLgoJdGV4dC9odG1sEiFCYWlrIFRlcmltYWthc2loIGl6aW4gbWVuYW1iYWhrYW4iLwoKdGV4dC9wbGFpbhIhQmFpayBUZXJpbWFrYXNpaCBpemluIG1lbmFtYmFoa2FuKk4KFU1pY3Jvc29mdCBPZmZpY2UgVXNlcho1Ly9zc2wuZ3N0YXRpYy5jb20vZG9jcy9jb21tb24vYmx1ZV9zaWxob3VldHRlOTYtMC5wbmcwoJb5v7EzOKCW+b+xM3JQChVNaWNyb3NvZnQgT2ZmaWNlIFVzZXIaNwo1Ly9zc2wuZ3N0YXRpYy5jb20vZG9jcy9jb21tb24vYmx1ZV9zaWxob3VldHRlOTYtMC5wbmd4AIgBAZoBBggAEAAYAKoBIxIhQmFpayBUZXJpbWFrYXNpaCBpemluIG1lbmFtYmFoa2FusAEAuAEByAEAckcKDEFjZXIgU3dpZnQgMxo3CjUvL3NzbC5nc3RhdGljLmNvbS9kb2NzL2NvbW1vbi9ibHVlX3NpbGhvdWV0dGU5Ni0wLnBuZ3gAiAEBmgEGCAAQABgAqgGLARKIAVBhZGEgYmFnaWFuIGluaSBBZGFsYWgga2VrdWF0YW4gZGFyaSBwYXBlciBpbmksIHNlaGFydXNueWEgbWVtdWF0IHBlcnNhbWFhbiBkYW4gcGVyYmVkYWFuIGJhbnlhayByZWZlcmVuc2kgdW50dWsgbWVtcGVyb2xlaCBnYXAgcmlzZXRueWGwAQC4AQHIAQAYoNCLiK0zIKCW+b+xMzAAQghraXguY210NiLRBgoLQUFBQ0Z6d2lwTE0SpwYKC0FBQUNGendpcExNEgtBQUFDRnp3aXBMTRpPCgl0ZXh0L2h0bWwSQk1vaG9uIGRpamVsYXNrYW4gYXBhIGRhbiBiYWFpbWFuYSBzZWNhcmEgdGVobmlzIG1ldG9kZSBpbmkgYmVrZXJqYSJQCgp0ZXh0L3BsYWluEkJNb2hvbiBkaWplbGFza2FuIGFwYSBkYW4gYmFhaW1hbmEgc2VjYXJhIHRlaG5pcyBtZXRvZGUgaW5pIGJla2VyamEqRQoMQWNlciBTd2lmdCAzGjUvL3NzbC5nc3RhdGljLmNvbS9kb2NzL2NvbW1vbi9ibHVlX3NpbGhvdWV0dGU5Ni0wLnBuZzCApY+IrTM4oIH9wLEzQusCCgtBQUFDRnp3aXBMURILQUFBQ0Z6d2lwTE0aLwoJdGV4dC9odG1sEiJCYWlrLCBUZXJpbWFrYXNpaCBpemluIG1lbmFtYmFoa2FuIjAKCnRleHQvcGxhaW4SIkJhaWssIFRlcmltYWthc2loIGl6aW4gbWVuYW1iYWhrYW4qTgoVTWljcm9zb2Z0IE9mZmljZSBVc2VyGjUvL3NzbC5nc3RhdGljLmNvbS9kb2NzL2NvbW1vbi9ibHVlX3NpbGhvdWV0dGU5Ni0wLnBuZzCggf3AsTM4oIH9wLEzclAKFU1pY3Jvc29mdCBPZmZpY2UgVXNlcho3CjUvL3NzbC5nc3RhdGljLmNvbS9kb2NzL2NvbW1vbi9ibHVlX3NpbGhvdWV0dGU5Ni0wLnBuZ3gAiAEBmgEGCAAQABgAqgEkEiJCYWlrLCBUZXJpbWFrYXNpaCBpemluIG1lbmFtYmFoa2FusAEAuAEByAEAckcKDEFjZXIgU3dpZnQgMxo3CjUvL3NzbC5nc3RhdGljLmNvbS9kb2NzL2NvbW1vbi9ibHVlX3NpbGhvdWV0dGU5Ni0wLnBuZ3gAiAEBmgEGCAAQABgAqgFEEkJNb2hvbiBkaWplbGFza2FuIGFwYSBkYW4gYmFhaW1hbmEgc2VjYXJhIHRlaG5pcyBtZXRvZGUgaW5pIGJla2VyamGwAQC4AQHIAQAYgKWPiK0zIKCB/cCxMzAAQghraXguY210ODIOaC5vdjY2NHpsaW4yeDM4AHIhMVVwMzRydjRZRGdwdlhKTDNUYWdVZEdWYTR4UGFQVTB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2026-01-30T04:46:00Z</dcterms:created>
  <dc:creator>Microsoft Office User</dc:creator>
</cp:coreProperties>
</file>